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jc w:val="right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>
      <w:pPr>
        <w:spacing w:line="600" w:lineRule="exact"/>
        <w:ind w:firstLine="2850" w:firstLineChars="950"/>
        <w:jc w:val="right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70E6FC9"/>
    <w:rsid w:val="0D4B0060"/>
    <w:rsid w:val="2B971F94"/>
    <w:rsid w:val="2C0330BA"/>
    <w:rsid w:val="38DC7FE1"/>
    <w:rsid w:val="41EA08B5"/>
    <w:rsid w:val="4970710B"/>
    <w:rsid w:val="526F399C"/>
    <w:rsid w:val="69905DE2"/>
    <w:rsid w:val="72F65D2C"/>
    <w:rsid w:val="75656149"/>
    <w:rsid w:val="7C2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2024-11-13T07:22:00Z</dcterms:created>
  <dc:creator>刘蓓</dc:creator>
  <cp:lastModifiedBy>赖鹏飞</cp:lastModifiedBy>
  <dcterms:modified xsi:type="dcterms:W3CDTF">2025-10-28T08:52:20Z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674EC39A2DFF4D09A62412EBC2E5DE97</vt:lpwstr>
  </property>
</Properties>
</file>