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Fonts w:ascii="黑体" w:hAnsi="黑体" w:eastAsia="黑体" w:cs="黑体"/>
        </w:rPr>
      </w:pPr>
      <w:r>
        <w:rPr>
          <w:rFonts w:ascii="黑体" w:hAnsi="黑体" w:eastAsia="黑体" w:cs="黑体"/>
          <w:color w:val="000000"/>
          <w:sz w:val="31"/>
          <w:szCs w:val="31"/>
        </w:rPr>
        <w:t>附件</w:t>
      </w:r>
      <w:r>
        <w:rPr>
          <w:rFonts w:hint="eastAsia" w:ascii="黑体" w:hAnsi="黑体" w:eastAsia="黑体" w:cs="黑体"/>
          <w:color w:val="000000"/>
          <w:sz w:val="31"/>
          <w:szCs w:val="31"/>
          <w:lang w:val="en-US" w:eastAsia="zh-CN"/>
        </w:rPr>
        <w:t>3</w:t>
      </w:r>
    </w:p>
    <w:p>
      <w:pPr>
        <w:spacing w:line="640" w:lineRule="exact"/>
        <w:jc w:val="center"/>
        <w:rPr>
          <w:rFonts w:hint="eastAsia" w:ascii="方正小标宋简体" w:hAnsi="宋体" w:eastAsia="方正小标宋简体" w:cs="Times New Roman"/>
          <w:sz w:val="44"/>
          <w:szCs w:val="44"/>
        </w:rPr>
      </w:pPr>
    </w:p>
    <w:p>
      <w:pPr>
        <w:spacing w:line="640" w:lineRule="exact"/>
        <w:jc w:val="center"/>
        <w:rPr>
          <w:rFonts w:hint="eastAsia" w:ascii="方正小标宋简体" w:hAnsi="宋体" w:eastAsia="方正小标宋简体" w:cs="Times New Roman"/>
          <w:sz w:val="44"/>
          <w:szCs w:val="44"/>
        </w:rPr>
      </w:pPr>
      <w:bookmarkStart w:id="0" w:name="OLE_LINK2"/>
      <w:bookmarkStart w:id="1" w:name="OLE_LINK1"/>
      <w:r>
        <w:rPr>
          <w:rFonts w:hint="eastAsia" w:ascii="方正小标宋简体" w:hAnsi="宋体" w:eastAsia="方正小标宋简体" w:cs="Times New Roman"/>
          <w:sz w:val="44"/>
          <w:szCs w:val="44"/>
        </w:rPr>
        <w:t>M</w:t>
      </w:r>
      <w:r>
        <w:rPr>
          <w:rFonts w:ascii="方正小标宋简体" w:hAnsi="宋体" w:eastAsia="方正小标宋简体" w:cs="Times New Roman"/>
          <w:sz w:val="44"/>
          <w:szCs w:val="44"/>
        </w:rPr>
        <w:t>ILES</w:t>
      </w:r>
      <w:bookmarkEnd w:id="0"/>
      <w:r>
        <w:rPr>
          <w:rFonts w:hint="eastAsia" w:ascii="方正小标宋简体" w:hAnsi="宋体" w:eastAsia="方正小标宋简体" w:cs="Times New Roman"/>
          <w:sz w:val="44"/>
          <w:szCs w:val="44"/>
        </w:rPr>
        <w:t>研究院动物房局部修缮服务</w:t>
      </w:r>
    </w:p>
    <w:bookmarkEnd w:id="1"/>
    <w:p>
      <w:pPr>
        <w:spacing w:line="64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采购需求</w:t>
      </w:r>
    </w:p>
    <w:p>
      <w:pPr>
        <w:pStyle w:val="5"/>
        <w:widowControl/>
        <w:spacing w:after="240"/>
        <w:rPr>
          <w:rFonts w:ascii="仿宋_GB2312" w:hAnsi="仿宋_GB2312" w:eastAsia="仿宋_GB2312" w:cs="仿宋_GB2312"/>
        </w:rPr>
      </w:pPr>
    </w:p>
    <w:p>
      <w:pPr>
        <w:pStyle w:val="5"/>
        <w:widowControl/>
        <w:ind w:firstLine="640"/>
        <w:rPr>
          <w:rFonts w:ascii="黑体" w:hAnsi="黑体" w:eastAsia="黑体" w:cs="黑体"/>
        </w:rPr>
      </w:pPr>
      <w:r>
        <w:rPr>
          <w:rFonts w:ascii="黑体" w:hAnsi="黑体" w:eastAsia="黑体" w:cs="黑体"/>
          <w:color w:val="000000"/>
          <w:sz w:val="31"/>
          <w:szCs w:val="31"/>
        </w:rPr>
        <w:t>一、采购项目概况</w:t>
      </w:r>
    </w:p>
    <w:p>
      <w:pPr>
        <w:pStyle w:val="11"/>
        <w:spacing w:line="579" w:lineRule="exact"/>
        <w:ind w:firstLine="640"/>
        <w:rPr>
          <w:rFonts w:hint="eastAsia" w:ascii="仿宋_GB2312" w:hAnsi="仿宋_GB2312" w:eastAsia="仿宋_GB2312" w:cs="仿宋_GB2312"/>
          <w:kern w:val="0"/>
          <w:sz w:val="32"/>
          <w:szCs w:val="32"/>
          <w:shd w:val="clear" w:color="auto" w:fill="FFFFFF"/>
          <w:lang w:bidi="ar"/>
        </w:rPr>
      </w:pPr>
      <w:bookmarkStart w:id="2" w:name="_Hlk217306702"/>
      <w:r>
        <w:rPr>
          <w:rFonts w:hint="eastAsia" w:ascii="仿宋_GB2312" w:hAnsi="仿宋_GB2312" w:eastAsia="仿宋_GB2312" w:cs="仿宋_GB2312"/>
          <w:kern w:val="0"/>
          <w:sz w:val="32"/>
          <w:szCs w:val="32"/>
          <w:shd w:val="clear" w:color="auto" w:fill="FFFFFF"/>
          <w:lang w:bidi="ar"/>
        </w:rPr>
        <w:t>为推进深港协同创新科研平台与粤港澳大湾区高水平人才高地建设，2024年8月MILES入驻河套科创中心。2025年4月，MILES来函表示需对动物房局部修缮调整。为支持科研人员顺利开展科研工作</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需采购MILES动物房局部修缮服务，采购预算金额</w:t>
      </w:r>
      <w:r>
        <w:rPr>
          <w:rFonts w:hint="eastAsia" w:ascii="仿宋_GB2312" w:hAnsi="仿宋_GB2312" w:eastAsia="仿宋_GB2312" w:cs="仿宋_GB2312"/>
          <w:kern w:val="0"/>
          <w:sz w:val="32"/>
          <w:szCs w:val="32"/>
          <w:shd w:val="clear" w:color="auto" w:fill="FFFFFF"/>
          <w:lang w:eastAsia="zh-CN" w:bidi="ar"/>
        </w:rPr>
        <w:t>24.5</w:t>
      </w:r>
      <w:r>
        <w:rPr>
          <w:rFonts w:hint="eastAsia" w:ascii="仿宋_GB2312" w:hAnsi="仿宋_GB2312" w:eastAsia="仿宋_GB2312" w:cs="仿宋_GB2312"/>
          <w:kern w:val="0"/>
          <w:sz w:val="32"/>
          <w:szCs w:val="32"/>
          <w:shd w:val="clear" w:color="auto" w:fill="FFFFFF"/>
          <w:lang w:bidi="ar"/>
        </w:rPr>
        <w:t>万元。</w:t>
      </w:r>
    </w:p>
    <w:bookmarkEnd w:id="2"/>
    <w:p>
      <w:pPr>
        <w:pStyle w:val="5"/>
        <w:widowControl/>
        <w:ind w:firstLine="640"/>
        <w:rPr>
          <w:rFonts w:ascii="黑体" w:hAnsi="黑体" w:eastAsia="黑体" w:cs="黑体"/>
          <w:color w:val="000000"/>
          <w:sz w:val="31"/>
          <w:szCs w:val="31"/>
        </w:rPr>
      </w:pPr>
      <w:r>
        <w:rPr>
          <w:rFonts w:ascii="黑体" w:hAnsi="黑体" w:eastAsia="黑体" w:cs="黑体"/>
          <w:color w:val="000000"/>
          <w:sz w:val="31"/>
          <w:szCs w:val="31"/>
        </w:rPr>
        <w:t>二、采购服务内容和服务要求</w:t>
      </w:r>
    </w:p>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（一）服务内容</w:t>
      </w:r>
    </w:p>
    <w:p>
      <w:pPr>
        <w:pStyle w:val="5"/>
        <w:widowControl/>
        <w:ind w:firstLine="640"/>
        <w:rPr>
          <w:rFonts w:ascii="仿宋_GB2312" w:hAnsi="仿宋_GB2312" w:eastAsia="仿宋_GB2312" w:cs="仿宋_GB2312"/>
          <w:color w:val="000000"/>
          <w:sz w:val="31"/>
          <w:szCs w:val="31"/>
        </w:rPr>
      </w:pPr>
      <w:bookmarkStart w:id="3" w:name="OLE_LINK8"/>
      <w:r>
        <w:rPr>
          <w:rFonts w:ascii="仿宋_GB2312" w:hAnsi="仿宋_GB2312" w:eastAsia="仿宋_GB2312" w:cs="仿宋_GB2312"/>
          <w:color w:val="000000"/>
          <w:sz w:val="31"/>
          <w:szCs w:val="31"/>
        </w:rPr>
        <w:t>服务内容包括根据科研单位需求对动物房行为学实验室、暂养间等区域进行修缮，补充回风柱、增加隔墙和洁净门，以确保暂养动物与饲养动物隔离，保证动物房运行安全。</w:t>
      </w:r>
    </w:p>
    <w:bookmarkEnd w:id="3"/>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（二）服务要求</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1.服务团队要求：供应商需组建专属项目团队，项目团队需具备同类项目经验。团队核心成员不少于4人，其中项目负责人要求具有中级或以上职称，且需保持稳定，除项目负责人外，团队应配置技术负责人、质量负责人、安全负责人等。同时未经采购人书面同意不得擅自更换，若确需更换，替换人员资质不得低于原成员，且需经采购人审核通过。</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2.进度管理要求：供应商需在合同签订后30日历天内完成修缮服务。 </w:t>
      </w:r>
    </w:p>
    <w:p>
      <w:pPr>
        <w:pStyle w:val="5"/>
        <w:widowControl/>
        <w:ind w:firstLine="640"/>
        <w:rPr>
          <w:rFonts w:ascii="黑体" w:hAnsi="黑体" w:eastAsia="黑体" w:cs="黑体"/>
        </w:rPr>
      </w:pPr>
      <w:r>
        <w:rPr>
          <w:rFonts w:ascii="黑体" w:hAnsi="黑体" w:eastAsia="黑体" w:cs="黑体"/>
          <w:color w:val="000000"/>
          <w:sz w:val="31"/>
          <w:szCs w:val="31"/>
        </w:rPr>
        <w:t>三、供应商资格要求</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（一）具备独立法人资格，持有有效的营业执照。</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（二）参与本项目投标前三年内，在经营活动中没有重大违法记录（由供应商在《政府采购承诺函》中作出声明）。</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（三）参与本项目政府采购活动时不存在被有关部门禁止参与政府采购活动且在有效期内的情况（由供应商在《政府采购承诺函》中作出声明）。</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（四）未被列入失信被执行人、重大税收违法案件当事人名单、政府采购严重违法失信行为记录名单（由供应商在《政府采购承诺函》中作出声明）。</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五）法定代表人、主要经营负责人、投标授权代表人、项目负责人、主要技术人员为同一人、属同一单位或者在同一单位缴纳社会保险的不同供应商，不得参加同一合同项下的政府采购活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承诺函》中作出声明）。</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注：“信用中国”、“中国政府采购网”以及“深圳市政府采购监管网”为供应商信用信息的查询渠道。</w:t>
      </w:r>
    </w:p>
    <w:p>
      <w:pPr>
        <w:pStyle w:val="5"/>
        <w:widowControl/>
        <w:ind w:firstLine="640"/>
        <w:rPr>
          <w:rFonts w:ascii="黑体" w:hAnsi="黑体" w:eastAsia="黑体" w:cs="黑体"/>
        </w:rPr>
      </w:pPr>
      <w:r>
        <w:rPr>
          <w:rFonts w:ascii="黑体" w:hAnsi="黑体" w:eastAsia="黑体" w:cs="黑体"/>
          <w:color w:val="000000"/>
          <w:sz w:val="31"/>
          <w:szCs w:val="31"/>
        </w:rPr>
        <w:t>四、采购方式、采购组织形式和评标定标方法</w:t>
      </w:r>
    </w:p>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（一）采购方式</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公开征集。</w:t>
      </w:r>
    </w:p>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（二）采购组织形式</w:t>
      </w:r>
    </w:p>
    <w:p>
      <w:pPr>
        <w:pStyle w:val="5"/>
        <w:widowControl/>
        <w:ind w:firstLine="64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由采购小组开展评审（定标）。</w:t>
      </w:r>
    </w:p>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（三）评标定标方法</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本次评标采用综合评分法，按照采购文件中规定的各项因素进行量化打分，以评标总得分最高的供应商为中标供应商。</w:t>
      </w:r>
    </w:p>
    <w:p>
      <w:pPr>
        <w:pStyle w:val="5"/>
        <w:widowControl/>
        <w:ind w:firstLine="640"/>
        <w:rPr>
          <w:rFonts w:ascii="楷体_GB2312" w:hAnsi="楷体_GB2312" w:eastAsia="楷体_GB2312" w:cs="楷体_GB2312"/>
          <w:color w:val="000000"/>
          <w:sz w:val="31"/>
          <w:szCs w:val="31"/>
        </w:rPr>
      </w:pPr>
      <w:r>
        <w:rPr>
          <w:rFonts w:ascii="楷体_GB2312" w:hAnsi="楷体_GB2312" w:eastAsia="楷体_GB2312" w:cs="楷体_GB2312"/>
          <w:color w:val="000000"/>
          <w:sz w:val="31"/>
          <w:szCs w:val="31"/>
        </w:rPr>
        <w:t>（四）评分标准</w:t>
      </w:r>
    </w:p>
    <w:p>
      <w:pPr>
        <w:spacing w:line="579" w:lineRule="exact"/>
        <w:ind w:firstLine="640" w:firstLineChars="200"/>
        <w:rPr>
          <w:rFonts w:hint="eastAsia" w:ascii="仿宋_GB2312" w:hAnsi="仿宋_GB2312" w:eastAsia="仿宋_GB2312" w:cs="仿宋_GB2312"/>
          <w:sz w:val="32"/>
          <w:szCs w:val="32"/>
          <w:shd w:val="clear" w:color="auto" w:fill="FFFFFF"/>
        </w:rPr>
      </w:pPr>
      <w:r>
        <w:rPr>
          <w:rFonts w:ascii="仿宋_GB2312" w:hAnsi="仿宋_GB2312" w:eastAsia="仿宋_GB2312" w:cs="仿宋_GB2312"/>
          <w:sz w:val="32"/>
          <w:szCs w:val="20"/>
        </w:rPr>
        <w:t>依据《河套深港科技创新合作区深圳园区发展署采购管理办法（试行）》第三十条，本项目采用公开征集方式并成立采购小组开展评审（定标）工作</w:t>
      </w:r>
      <w:r>
        <w:rPr>
          <w:rFonts w:hint="eastAsia" w:ascii="仿宋_GB2312" w:hAnsi="仿宋_GB2312" w:eastAsia="仿宋_GB2312" w:cs="仿宋_GB2312"/>
          <w:sz w:val="32"/>
          <w:szCs w:val="20"/>
        </w:rPr>
        <w:t>。</w:t>
      </w:r>
      <w:r>
        <w:rPr>
          <w:rFonts w:ascii="仿宋_GB2312" w:hAnsi="仿宋_GB2312" w:eastAsia="仿宋_GB2312" w:cs="仿宋_GB2312"/>
          <w:sz w:val="32"/>
          <w:szCs w:val="20"/>
        </w:rPr>
        <w:t>评标采用综合评分法</w:t>
      </w:r>
      <w:r>
        <w:rPr>
          <w:rFonts w:hint="eastAsia" w:ascii="仿宋_GB2312" w:hAnsi="仿宋_GB2312" w:eastAsia="仿宋_GB2312" w:cs="仿宋_GB2312"/>
          <w:sz w:val="32"/>
          <w:szCs w:val="20"/>
        </w:rPr>
        <w:t>，</w:t>
      </w:r>
      <w:r>
        <w:rPr>
          <w:rFonts w:ascii="仿宋_GB2312" w:hAnsi="仿宋_GB2312" w:eastAsia="仿宋_GB2312" w:cs="仿宋_GB2312"/>
          <w:sz w:val="32"/>
          <w:szCs w:val="20"/>
        </w:rPr>
        <w:t>供应商需按要求提供高质量的报价文件，我单位</w:t>
      </w:r>
      <w:r>
        <w:rPr>
          <w:rFonts w:hint="eastAsia" w:ascii="仿宋_GB2312" w:hAnsi="仿宋_GB2312" w:eastAsia="仿宋_GB2312" w:cs="仿宋_GB2312"/>
          <w:sz w:val="32"/>
          <w:szCs w:val="32"/>
          <w:shd w:val="clear" w:color="auto" w:fill="FFFFFF"/>
        </w:rPr>
        <w:t>将按照采购文件中规定的各项因素进行量化打分，以评标总得分最高的供应商为中标供应商。</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采取“综合评分法”的评审规则。</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选择该评审规则的理由：综合评分法指在最大限度地满足招标文件实质性要求前提下，按照招标文件中规定的各项因素进行综合评审后，以评标总得分最高的投标人作为中标候选供应商或者中标供应商的评标方法。</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综合评分法评审因素的设定与投标人所提技术方案及企业综合实力相关，评审时对投标报价、业绩、技术水平等多项指标进行量化打分，能更加客观、更准确地择优选出优秀的中标供应商，从而保证本项目的顺利实施。</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评分规则：价格分应当采用低价优先法计算，即满足采购文件要求且投标价格最低的投标报价为评标基准价，其价格分为满分。其他投标供应商的价格分统一按照下列公式计算：</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投标报价得分=(评标基准价/投标报价)×100</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评标总得分=F1×A1+F2×A2+……+Fn×An</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F1、F2……Fn分别为各项评审因素的得分；</w:t>
      </w:r>
    </w:p>
    <w:p>
      <w:pPr>
        <w:spacing w:line="579"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A1、A2、……An分别为各项评审因素所占的权重(A1+A2+……+An=1)。</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874"/>
        <w:gridCol w:w="837"/>
        <w:gridCol w:w="1365"/>
        <w:gridCol w:w="397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序号</w:t>
            </w:r>
          </w:p>
        </w:tc>
        <w:tc>
          <w:tcPr>
            <w:tcW w:w="87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评分项</w:t>
            </w:r>
          </w:p>
        </w:tc>
        <w:tc>
          <w:tcPr>
            <w:tcW w:w="83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权重（%）</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评分子项</w:t>
            </w:r>
          </w:p>
        </w:tc>
        <w:tc>
          <w:tcPr>
            <w:tcW w:w="397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评分细则</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w:t>
            </w:r>
          </w:p>
        </w:tc>
        <w:tc>
          <w:tcPr>
            <w:tcW w:w="87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价格部分</w:t>
            </w:r>
          </w:p>
        </w:tc>
        <w:tc>
          <w:tcPr>
            <w:tcW w:w="83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1</w:t>
            </w:r>
            <w:r>
              <w:rPr>
                <w:rFonts w:hint="eastAsia" w:ascii="仿宋_GB2312" w:hAnsi="仿宋_GB2312" w:eastAsia="仿宋_GB2312" w:cs="仿宋_GB2312"/>
                <w:kern w:val="0"/>
                <w:sz w:val="24"/>
                <w:lang w:bidi="ar"/>
              </w:rPr>
              <w:t>0</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投标报价</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满足招标要求的最低价为基准价，得满分（</w:t>
            </w:r>
            <w:r>
              <w:rPr>
                <w:rFonts w:hint="eastAsia" w:ascii="仿宋_GB2312" w:hAnsi="仿宋_GB2312" w:eastAsia="仿宋_GB2312" w:cs="仿宋_GB2312"/>
                <w:kern w:val="0"/>
                <w:sz w:val="24"/>
                <w:lang w:val="en-US" w:eastAsia="zh-CN" w:bidi="ar"/>
              </w:rPr>
              <w:t>10</w:t>
            </w:r>
            <w:r>
              <w:rPr>
                <w:rFonts w:hint="eastAsia" w:ascii="仿宋_GB2312" w:hAnsi="仿宋_GB2312" w:eastAsia="仿宋_GB2312" w:cs="仿宋_GB2312"/>
                <w:kern w:val="0"/>
                <w:sz w:val="24"/>
                <w:lang w:bidi="ar"/>
              </w:rPr>
              <w:t>）。其他报价得分 =（基准价 / 投标报价）× 100。报价不得超过预算</w:t>
            </w:r>
            <w:r>
              <w:rPr>
                <w:rFonts w:hint="eastAsia" w:ascii="仿宋_GB2312" w:hAnsi="仿宋_GB2312" w:eastAsia="仿宋_GB2312" w:cs="仿宋_GB2312"/>
                <w:kern w:val="0"/>
                <w:sz w:val="24"/>
                <w:lang w:eastAsia="zh-CN" w:bidi="ar"/>
              </w:rPr>
              <w:t>24.5</w:t>
            </w:r>
            <w:r>
              <w:rPr>
                <w:rFonts w:hint="eastAsia" w:ascii="仿宋_GB2312" w:hAnsi="仿宋_GB2312" w:eastAsia="仿宋_GB2312" w:cs="仿宋_GB2312"/>
                <w:kern w:val="0"/>
                <w:sz w:val="24"/>
                <w:lang w:bidi="ar"/>
              </w:rPr>
              <w:t>万元。</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w:t>
            </w:r>
            <w:r>
              <w:rPr>
                <w:rFonts w:hint="eastAsia" w:ascii="仿宋_GB2312" w:hAnsi="仿宋_GB2312" w:eastAsia="仿宋_GB2312" w:cs="仿宋_GB2312"/>
                <w:kern w:val="0"/>
                <w:sz w:val="24"/>
                <w:lang w:val="en-US" w:eastAsia="zh-CN" w:bidi="ar"/>
              </w:rPr>
              <w:t>1</w:t>
            </w:r>
            <w:r>
              <w:rPr>
                <w:rFonts w:hint="eastAsia" w:ascii="仿宋_GB2312" w:hAnsi="仿宋_GB2312" w:eastAsia="仿宋_GB2312" w:cs="仿宋_GB2312"/>
                <w:kern w:val="0"/>
                <w:sz w:val="24"/>
                <w:lang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w:t>
            </w:r>
          </w:p>
        </w:tc>
        <w:tc>
          <w:tcPr>
            <w:tcW w:w="87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资质</w:t>
            </w:r>
          </w:p>
        </w:tc>
        <w:tc>
          <w:tcPr>
            <w:tcW w:w="83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具备相关资质。</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提供营业执照、事业法人证书或社会团体法人登记证书等扫描件及相关资质证明，得5分</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w:t>
            </w:r>
          </w:p>
        </w:tc>
        <w:tc>
          <w:tcPr>
            <w:tcW w:w="87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项目经验</w:t>
            </w:r>
          </w:p>
        </w:tc>
        <w:tc>
          <w:tcPr>
            <w:tcW w:w="83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bidi="ar"/>
              </w:rPr>
              <w:t>0</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同类项目经验</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自2022年1月1日起至本项目投标截止之日（以合同签订日期为准），</w:t>
            </w:r>
            <w:r>
              <w:rPr>
                <w:rFonts w:hint="eastAsia" w:ascii="仿宋_GB2312" w:hAnsi="仿宋_GB2312" w:eastAsia="仿宋_GB2312" w:cs="仿宋_GB2312"/>
                <w:color w:val="auto"/>
                <w:kern w:val="0"/>
                <w:sz w:val="24"/>
                <w:lang w:bidi="ar"/>
              </w:rPr>
              <w:t>具有同类项目业绩的</w:t>
            </w:r>
            <w:r>
              <w:rPr>
                <w:rFonts w:hint="eastAsia" w:ascii="仿宋_GB2312" w:hAnsi="仿宋_GB2312" w:eastAsia="仿宋_GB2312" w:cs="仿宋_GB2312"/>
                <w:kern w:val="0"/>
                <w:sz w:val="24"/>
                <w:lang w:bidi="ar"/>
              </w:rPr>
              <w:t>，每个业绩得4分，满分</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bidi="ar"/>
              </w:rPr>
              <w:t>0分（最多5个业绩）。需提供合同关键页或项目证明材料（如合同名称页、主要内容页、签订日期页、签字盖章页）。</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w:t>
            </w:r>
          </w:p>
        </w:tc>
        <w:tc>
          <w:tcPr>
            <w:tcW w:w="874" w:type="dxa"/>
            <w:vMerge w:val="restart"/>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技术能力</w:t>
            </w:r>
          </w:p>
        </w:tc>
        <w:tc>
          <w:tcPr>
            <w:tcW w:w="837" w:type="dxa"/>
            <w:vMerge w:val="restart"/>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50</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项目服务方案</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投标人提供本项目实施方案。专家综合评分：</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优秀（20-25分）：内容全面、具体、先进，表达清晰严谨，针对性强。</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良好（10-19分）：内容较全面，针对性较好。</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一般（5-9分）：内容一般，针对性一般。</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差（0-4分）：内容不全面，表达不清晰。</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874"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837"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项目重点难点分析、应对措施</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在投标文件中详细说明用于本项目的项目重点难点分析、应对措施专家综合评分：</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优秀（11-15分）：思路全面、可行，融合度高。</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良好（8-10分）：思路较全面，可行性较好。</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一般（4-7分）：思路一般，可行性一般。</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差（0-3分）：思路不全面，可行性差。</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874"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837" w:type="dxa"/>
            <w:vMerge w:val="continue"/>
            <w:vAlign w:val="center"/>
          </w:tcPr>
          <w:p>
            <w:pPr>
              <w:widowControl/>
              <w:adjustRightInd w:val="0"/>
              <w:snapToGrid w:val="0"/>
              <w:jc w:val="center"/>
              <w:rPr>
                <w:rFonts w:hint="eastAsia" w:ascii="仿宋_GB2312" w:hAnsi="仿宋_GB2312" w:eastAsia="仿宋_GB2312" w:cs="仿宋_GB2312"/>
                <w:kern w:val="0"/>
                <w:sz w:val="24"/>
                <w:lang w:bidi="ar"/>
              </w:rPr>
            </w:pP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质量保障措施及方案</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在投标文件中详细说明用于本项目的质量保障措施及方案。专家综合评分：</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优秀（8-10分）：计划全面、具体，可操作性强。</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良好（5-7分）：计划较全面，可操作性较好。</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一般（2-4分）：计划一般，可操作性一般。</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差（0-1分）：计划不全面，可操作性差。</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87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诚信服务</w:t>
            </w:r>
          </w:p>
        </w:tc>
        <w:tc>
          <w:tcPr>
            <w:tcW w:w="837"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1365"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信用记录</w:t>
            </w:r>
          </w:p>
        </w:tc>
        <w:tc>
          <w:tcPr>
            <w:tcW w:w="3977" w:type="dxa"/>
            <w:vAlign w:val="center"/>
          </w:tcPr>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无不良信用记录，履约良好者得满分（5分），存在不良记录者不得分。</w:t>
            </w:r>
          </w:p>
          <w:p>
            <w:pPr>
              <w:widowControl/>
              <w:adjustRightInd w:val="0"/>
              <w:snapToGrid w:val="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zh-CN" w:bidi="ar"/>
              </w:rPr>
              <w:t>查询渠道</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zh-CN" w:bidi="ar"/>
              </w:rPr>
              <w:t>通过</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zh-CN" w:bidi="ar"/>
              </w:rPr>
              <w:t>信用中国</w:t>
            </w:r>
            <w:r>
              <w:rPr>
                <w:rFonts w:hint="eastAsia" w:ascii="仿宋_GB2312" w:hAnsi="仿宋_GB2312" w:eastAsia="仿宋_GB2312" w:cs="仿宋_GB2312"/>
                <w:kern w:val="0"/>
                <w:sz w:val="24"/>
                <w:lang w:bidi="ar"/>
              </w:rPr>
              <w:t>”（www.creditchina.gov.cn，</w:t>
            </w:r>
            <w:r>
              <w:rPr>
                <w:rFonts w:hint="eastAsia" w:ascii="仿宋_GB2312" w:hAnsi="仿宋_GB2312" w:eastAsia="仿宋_GB2312" w:cs="仿宋_GB2312"/>
                <w:kern w:val="0"/>
                <w:sz w:val="24"/>
                <w:lang w:val="zh-CN" w:bidi="ar"/>
              </w:rPr>
              <w:t>下载信用信息报告</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zh-CN" w:bidi="ar"/>
              </w:rPr>
              <w:t>、</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zh-CN" w:bidi="ar"/>
              </w:rPr>
              <w:t>中国政府采购网</w:t>
            </w:r>
            <w:r>
              <w:rPr>
                <w:rFonts w:hint="eastAsia" w:ascii="仿宋_GB2312" w:hAnsi="仿宋_GB2312" w:eastAsia="仿宋_GB2312" w:cs="仿宋_GB2312"/>
                <w:kern w:val="0"/>
                <w:sz w:val="24"/>
                <w:lang w:bidi="ar"/>
              </w:rPr>
              <w:t>”（www.ccgp</w:t>
            </w:r>
            <w:bookmarkStart w:id="4" w:name="_GoBack"/>
            <w:bookmarkEnd w:id="4"/>
            <w:r>
              <w:rPr>
                <w:rFonts w:hint="eastAsia" w:ascii="仿宋_GB2312" w:hAnsi="仿宋_GB2312" w:eastAsia="仿宋_GB2312" w:cs="仿宋_GB2312"/>
                <w:kern w:val="0"/>
                <w:sz w:val="24"/>
                <w:lang w:bidi="ar"/>
              </w:rPr>
              <w:t>.gov.cn）</w:t>
            </w:r>
            <w:r>
              <w:rPr>
                <w:rFonts w:hint="eastAsia" w:ascii="仿宋_GB2312" w:hAnsi="仿宋_GB2312" w:eastAsia="仿宋_GB2312" w:cs="仿宋_GB2312"/>
                <w:kern w:val="0"/>
                <w:sz w:val="24"/>
                <w:lang w:val="zh-CN" w:bidi="ar"/>
              </w:rPr>
              <w:t>、以及</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val="zh-CN" w:bidi="ar"/>
              </w:rPr>
              <w:t>深圳市政府采购监管网</w:t>
            </w:r>
            <w:r>
              <w:rPr>
                <w:rFonts w:hint="eastAsia" w:ascii="仿宋_GB2312" w:hAnsi="仿宋_GB2312" w:eastAsia="仿宋_GB2312" w:cs="仿宋_GB2312"/>
                <w:kern w:val="0"/>
                <w:sz w:val="24"/>
                <w:lang w:bidi="ar"/>
              </w:rPr>
              <w:t>”（http:/zfcg.sz.gov.cn）</w:t>
            </w:r>
            <w:r>
              <w:rPr>
                <w:rFonts w:hint="eastAsia" w:ascii="仿宋_GB2312" w:hAnsi="仿宋_GB2312" w:eastAsia="仿宋_GB2312" w:cs="仿宋_GB2312"/>
                <w:kern w:val="0"/>
                <w:sz w:val="24"/>
                <w:lang w:val="zh-CN" w:bidi="ar"/>
              </w:rPr>
              <w:t>查询供应商信用信息。</w:t>
            </w:r>
          </w:p>
        </w:tc>
        <w:tc>
          <w:tcPr>
            <w:tcW w:w="1254" w:type="dxa"/>
            <w:vAlign w:val="center"/>
          </w:tcPr>
          <w:p>
            <w:pPr>
              <w:widowControl/>
              <w:adjustRightInd w:val="0"/>
              <w:snapToGrid w:val="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0-5分</w:t>
            </w:r>
          </w:p>
        </w:tc>
      </w:tr>
    </w:tbl>
    <w:p>
      <w:pPr>
        <w:pStyle w:val="5"/>
        <w:widowControl/>
        <w:ind w:firstLine="640"/>
        <w:rPr>
          <w:rFonts w:ascii="黑体" w:hAnsi="黑体" w:eastAsia="黑体" w:cs="黑体"/>
          <w:color w:val="000000"/>
        </w:rPr>
      </w:pPr>
    </w:p>
    <w:p>
      <w:pPr>
        <w:pStyle w:val="5"/>
        <w:widowControl/>
        <w:ind w:firstLine="640"/>
        <w:rPr>
          <w:rFonts w:ascii="黑体" w:hAnsi="黑体" w:eastAsia="黑体" w:cs="黑体"/>
        </w:rPr>
      </w:pPr>
      <w:r>
        <w:rPr>
          <w:rFonts w:ascii="黑体" w:hAnsi="黑体" w:eastAsia="黑体" w:cs="黑体"/>
          <w:color w:val="000000"/>
          <w:sz w:val="31"/>
          <w:szCs w:val="31"/>
        </w:rPr>
        <w:t>五、商务需求</w:t>
      </w:r>
    </w:p>
    <w:p>
      <w:pPr>
        <w:pStyle w:val="5"/>
        <w:widowControl/>
        <w:ind w:firstLine="640"/>
        <w:rPr>
          <w:rFonts w:ascii="仿宋_GB2312" w:hAnsi="仿宋_GB2312" w:eastAsia="仿宋_GB2312" w:cs="仿宋_GB2312"/>
          <w:b/>
          <w:bCs/>
        </w:rPr>
      </w:pPr>
      <w:r>
        <w:rPr>
          <w:rFonts w:ascii="仿宋_GB2312" w:hAnsi="仿宋_GB2312" w:eastAsia="仿宋_GB2312" w:cs="仿宋_GB2312"/>
          <w:color w:val="000000"/>
          <w:sz w:val="31"/>
          <w:szCs w:val="31"/>
        </w:rPr>
        <w:t>（一）服务期：自合同签订之日起至</w:t>
      </w:r>
      <w:r>
        <w:rPr>
          <w:rFonts w:hint="eastAsia" w:ascii="仿宋_GB2312" w:hAnsi="仿宋_GB2312" w:eastAsia="仿宋_GB2312" w:cs="仿宋_GB2312"/>
          <w:color w:val="000000"/>
          <w:sz w:val="31"/>
          <w:szCs w:val="31"/>
          <w:lang w:val="en-US" w:eastAsia="zh-CN"/>
        </w:rPr>
        <w:t>完成</w:t>
      </w:r>
      <w:r>
        <w:rPr>
          <w:rFonts w:ascii="仿宋_GB2312" w:hAnsi="仿宋_GB2312" w:eastAsia="仿宋_GB2312" w:cs="仿宋_GB2312"/>
          <w:color w:val="000000"/>
          <w:sz w:val="31"/>
          <w:szCs w:val="31"/>
        </w:rPr>
        <w:t>修缮服务，不得超过30日历天。</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（二）服务地点：深圳市福田区。</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（三）报价要求：</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1.本项目预算金额：人民币</w:t>
      </w:r>
      <w:r>
        <w:rPr>
          <w:rFonts w:ascii="仿宋_GB2312" w:hAnsi="仿宋_GB2312" w:eastAsia="仿宋_GB2312" w:cs="仿宋_GB2312"/>
          <w:color w:val="000000"/>
          <w:sz w:val="31"/>
          <w:szCs w:val="31"/>
          <w:u w:val="single"/>
        </w:rPr>
        <w:t>¥</w:t>
      </w:r>
      <w:r>
        <w:rPr>
          <w:rFonts w:hint="eastAsia" w:ascii="仿宋_GB2312" w:hAnsi="仿宋_GB2312" w:eastAsia="仿宋_GB2312" w:cs="仿宋_GB2312"/>
          <w:color w:val="000000"/>
          <w:sz w:val="31"/>
          <w:szCs w:val="31"/>
          <w:u w:val="single"/>
          <w:lang w:eastAsia="zh-CN"/>
        </w:rPr>
        <w:t>24.5</w:t>
      </w:r>
      <w:r>
        <w:rPr>
          <w:rFonts w:ascii="仿宋_GB2312" w:hAnsi="仿宋_GB2312" w:eastAsia="仿宋_GB2312" w:cs="仿宋_GB2312"/>
          <w:color w:val="000000"/>
          <w:sz w:val="31"/>
          <w:szCs w:val="31"/>
          <w:u w:val="single"/>
        </w:rPr>
        <w:t>万元</w:t>
      </w:r>
      <w:r>
        <w:rPr>
          <w:rFonts w:ascii="仿宋_GB2312" w:hAnsi="仿宋_GB2312" w:eastAsia="仿宋_GB2312" w:cs="仿宋_GB2312"/>
          <w:color w:val="000000"/>
          <w:sz w:val="31"/>
          <w:szCs w:val="31"/>
        </w:rPr>
        <w:t>，投标供应商的报价不得超过项目预算金额。</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2.本项目服务费采用总价包干形式。投标供应商应根据采购文件提供的资料自行测算投标报价。</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3.投标供应商应当根据本企业的成本自行决定报价，但不得以低于其企业成本的报价投标。</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4.投标供应商的报价，应当是本项目采购范围和采购文件及合同条款上所列的各项内容中所述的全部，不得以任何理由予以重复。</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5"/>
        <w:widowControl/>
        <w:ind w:firstLine="640"/>
        <w:rPr>
          <w:rFonts w:ascii="仿宋_GB2312" w:hAnsi="仿宋_GB2312" w:eastAsia="仿宋_GB2312" w:cs="仿宋_GB2312"/>
        </w:rPr>
      </w:pPr>
      <w:r>
        <w:rPr>
          <w:rFonts w:ascii="仿宋_GB2312" w:hAnsi="仿宋_GB2312" w:eastAsia="仿宋_GB2312" w:cs="仿宋_GB2312"/>
          <w:color w:val="000000"/>
          <w:sz w:val="31"/>
          <w:szCs w:val="31"/>
        </w:rPr>
        <w:t>6.投标供应商应先到项目地点踏勘以充分了解项目的位置、情况、道路及任何其它足以影响投标报价的情况，任何因忽视或误解项目情况而导致的索赔或服务期限延长申请将不获批准。</w:t>
      </w:r>
    </w:p>
    <w:p>
      <w:pPr>
        <w:pStyle w:val="5"/>
        <w:widowControl/>
        <w:spacing w:line="360" w:lineRule="auto"/>
        <w:ind w:firstLine="640"/>
        <w:rPr>
          <w:rFonts w:ascii="仿宋_GB2312" w:hAnsi="仿宋_GB2312" w:eastAsia="仿宋_GB2312" w:cs="仿宋_GB2312"/>
        </w:rPr>
      </w:pPr>
      <w:r>
        <w:rPr>
          <w:rFonts w:ascii="仿宋_GB2312" w:hAnsi="仿宋_GB2312" w:eastAsia="仿宋_GB2312" w:cs="仿宋_GB2312"/>
          <w:color w:val="000000"/>
          <w:sz w:val="31"/>
          <w:szCs w:val="31"/>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360" w:lineRule="auto"/>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（四）付款方式：（1）本合同不约定预付款。（2）合同工作内容全部完成且验收合格后，乙方提供发票。甲方在10个工作日内支付总价100%。</w:t>
      </w:r>
    </w:p>
    <w:p>
      <w:pPr>
        <w:pStyle w:val="5"/>
        <w:widowControl/>
        <w:spacing w:line="360" w:lineRule="auto"/>
        <w:ind w:firstLine="620" w:firstLineChars="200"/>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（五）违约责任：按照合同约定。</w:t>
      </w:r>
    </w:p>
    <w:p>
      <w:pPr>
        <w:pStyle w:val="5"/>
        <w:widowControl/>
        <w:ind w:firstLine="620" w:firstLineChars="200"/>
        <w:rPr>
          <w:rFonts w:ascii="仿宋_GB2312" w:hAnsi="仿宋_GB2312" w:eastAsia="仿宋_GB2312" w:cs="仿宋_GB2312"/>
        </w:rPr>
      </w:pPr>
      <w:r>
        <w:rPr>
          <w:rFonts w:ascii="仿宋_GB2312" w:hAnsi="仿宋_GB2312" w:eastAsia="仿宋_GB2312" w:cs="仿宋_GB2312"/>
          <w:color w:val="000000"/>
          <w:sz w:val="31"/>
          <w:szCs w:val="31"/>
        </w:rPr>
        <w:t>（六）其他：无。</w:t>
      </w:r>
      <w:r>
        <w:rPr>
          <w:rFonts w:ascii="仿宋_GB2312" w:hAnsi="仿宋_GB2312" w:eastAsia="仿宋_GB2312" w:cs="仿宋_GB2312"/>
        </w:rPr>
        <w:br w:type="textWrapping"/>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0B40"/>
    <w:rsid w:val="000F11F9"/>
    <w:rsid w:val="00181FC9"/>
    <w:rsid w:val="002024A4"/>
    <w:rsid w:val="00264A1B"/>
    <w:rsid w:val="00294099"/>
    <w:rsid w:val="002C3B94"/>
    <w:rsid w:val="003C0232"/>
    <w:rsid w:val="003F686B"/>
    <w:rsid w:val="00495F5A"/>
    <w:rsid w:val="004D77B6"/>
    <w:rsid w:val="005059CF"/>
    <w:rsid w:val="00511EA3"/>
    <w:rsid w:val="00544996"/>
    <w:rsid w:val="005E0927"/>
    <w:rsid w:val="006425D4"/>
    <w:rsid w:val="00671E84"/>
    <w:rsid w:val="007C47AA"/>
    <w:rsid w:val="00A16CA5"/>
    <w:rsid w:val="00B017B4"/>
    <w:rsid w:val="00C00D6E"/>
    <w:rsid w:val="00E65762"/>
    <w:rsid w:val="00EB1041"/>
    <w:rsid w:val="00EC247E"/>
    <w:rsid w:val="00F07254"/>
    <w:rsid w:val="00F15747"/>
    <w:rsid w:val="0941613C"/>
    <w:rsid w:val="09E666C9"/>
    <w:rsid w:val="0A3708BC"/>
    <w:rsid w:val="0AC05D10"/>
    <w:rsid w:val="0C1F2AF1"/>
    <w:rsid w:val="0D4E5761"/>
    <w:rsid w:val="0DF37C99"/>
    <w:rsid w:val="0F77627B"/>
    <w:rsid w:val="0F8E4CC1"/>
    <w:rsid w:val="11400915"/>
    <w:rsid w:val="114F61E9"/>
    <w:rsid w:val="12C30F2B"/>
    <w:rsid w:val="137E7539"/>
    <w:rsid w:val="14C73D1B"/>
    <w:rsid w:val="15BB0D33"/>
    <w:rsid w:val="16B15AF8"/>
    <w:rsid w:val="17350B40"/>
    <w:rsid w:val="17A63418"/>
    <w:rsid w:val="18485436"/>
    <w:rsid w:val="19D2500F"/>
    <w:rsid w:val="1B3C42FF"/>
    <w:rsid w:val="1B496E6A"/>
    <w:rsid w:val="1EBD473F"/>
    <w:rsid w:val="1FD10A82"/>
    <w:rsid w:val="202F402B"/>
    <w:rsid w:val="20485605"/>
    <w:rsid w:val="25CE61F8"/>
    <w:rsid w:val="263527CB"/>
    <w:rsid w:val="28943357"/>
    <w:rsid w:val="28C3170A"/>
    <w:rsid w:val="28CD2214"/>
    <w:rsid w:val="2AAA4B1B"/>
    <w:rsid w:val="2B421205"/>
    <w:rsid w:val="2C6D42AB"/>
    <w:rsid w:val="2D0F19A8"/>
    <w:rsid w:val="30702187"/>
    <w:rsid w:val="32FA01E5"/>
    <w:rsid w:val="393947EE"/>
    <w:rsid w:val="3AA06EC0"/>
    <w:rsid w:val="3B0C59EE"/>
    <w:rsid w:val="412B77AF"/>
    <w:rsid w:val="42307D25"/>
    <w:rsid w:val="42884F34"/>
    <w:rsid w:val="432263B4"/>
    <w:rsid w:val="438602D6"/>
    <w:rsid w:val="44F84CB5"/>
    <w:rsid w:val="4ABF6D2F"/>
    <w:rsid w:val="4B58121B"/>
    <w:rsid w:val="4CB33CE7"/>
    <w:rsid w:val="4DD21759"/>
    <w:rsid w:val="4E035DB6"/>
    <w:rsid w:val="4FB658CD"/>
    <w:rsid w:val="4FC861DA"/>
    <w:rsid w:val="504F44D2"/>
    <w:rsid w:val="5219153F"/>
    <w:rsid w:val="535418D3"/>
    <w:rsid w:val="54704F17"/>
    <w:rsid w:val="549D57E8"/>
    <w:rsid w:val="55014B1F"/>
    <w:rsid w:val="569A4DDE"/>
    <w:rsid w:val="56EC7829"/>
    <w:rsid w:val="57D810AF"/>
    <w:rsid w:val="595A7995"/>
    <w:rsid w:val="598A13F7"/>
    <w:rsid w:val="5CE80A78"/>
    <w:rsid w:val="5D916BB6"/>
    <w:rsid w:val="5FF236E1"/>
    <w:rsid w:val="60345679"/>
    <w:rsid w:val="6043407E"/>
    <w:rsid w:val="60A11E99"/>
    <w:rsid w:val="60BC1B2D"/>
    <w:rsid w:val="642F3009"/>
    <w:rsid w:val="686F5562"/>
    <w:rsid w:val="688B1A39"/>
    <w:rsid w:val="69010354"/>
    <w:rsid w:val="69075AE0"/>
    <w:rsid w:val="69605A13"/>
    <w:rsid w:val="6B740221"/>
    <w:rsid w:val="6B875DB6"/>
    <w:rsid w:val="6EFE3098"/>
    <w:rsid w:val="6F800BBD"/>
    <w:rsid w:val="711F0324"/>
    <w:rsid w:val="726742CD"/>
    <w:rsid w:val="73063468"/>
    <w:rsid w:val="74B93F62"/>
    <w:rsid w:val="76BF3FF1"/>
    <w:rsid w:val="789C2109"/>
    <w:rsid w:val="78C54FF3"/>
    <w:rsid w:val="7B5D0004"/>
    <w:rsid w:val="7C482875"/>
    <w:rsid w:val="7E23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bCs/>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 w:type="paragraph" w:styleId="11">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D457-0E79-4957-A2BA-8C5F5BC038DC}">
  <ds:schemaRefs/>
</ds:datastoreItem>
</file>

<file path=docProps/app.xml><?xml version="1.0" encoding="utf-8"?>
<Properties xmlns="http://schemas.openxmlformats.org/officeDocument/2006/extended-properties" xmlns:vt="http://schemas.openxmlformats.org/officeDocument/2006/docPropsVTypes">
  <Template>Normal</Template>
  <Pages>8</Pages>
  <Words>1572</Words>
  <Characters>1668</Characters>
  <Lines>128</Lines>
  <Paragraphs>107</Paragraphs>
  <TotalTime>1</TotalTime>
  <ScaleCrop>false</ScaleCrop>
  <LinksUpToDate>false</LinksUpToDate>
  <CharactersWithSpaces>3133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2026-03-05T07:48:00Z</dcterms:created>
  <dc:creator>赖鹏飞</dc:creator>
  <cp:lastModifiedBy>C</cp:lastModifiedBy>
  <cp:lastPrinted>2026-02-09T01:37:00Z</cp:lastPrinted>
  <dcterms:modified xsi:type="dcterms:W3CDTF">2026-03-20T02:57:30Z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9C037781C23B444FA4909F23948B2F65</vt:lpwstr>
  </property>
</Properties>
</file>