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评标信息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200" w:afterAutospacing="0" w:line="540" w:lineRule="exact"/>
        <w:ind w:left="0" w:right="0" w:firstLine="640" w:firstLineChars="200"/>
        <w:jc w:val="left"/>
        <w:rPr>
          <w:rFonts w:hint="eastAsia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Tahoma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本项目采用公开征集方式并成立采购小组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开展评审（定标）。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Tahoma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供应商需按要求提供高质量的报价文件，我单位将对各个供应商报价文件按照以下因素进行横向比较，综合评审出一家中标供应商。</w:t>
      </w:r>
    </w:p>
    <w:tbl>
      <w:tblPr>
        <w:tblStyle w:val="4"/>
        <w:tblW w:w="8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05"/>
        <w:gridCol w:w="6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投标报价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价格分计算方法：满足招标文件要求且投标价格最低的投标报价为评标基准价，其价格分为满分。其他投标人的价格分统一按照下列公式计算：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投标报价得分=(评标基准价／投标报价)×10</w:t>
            </w:r>
          </w:p>
          <w:p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备注：1、因落实政府采购政策进行价格调整的，以调整后的价格计算评标基准价和投标报价。根财库〔2020〕46号、财库[2014]68号、财库[2017]141号文件规定：本项目非专门面向中小企业的项目，对小型和微型企业、监狱企业或残疾人福利性企业产品的价格给予10%的扣除，用扣除后的价格即为“经评审合格的投标报价”参与价格评审。监狱企业应当提供由省级以上监狱管理局、戒毒管理局（含新疆生产建设兵团）出具的属于监狱企业的证明文件，中小企业提供中小企业声明函，残疾人福利性企业提供残疾人福利性企业声明函。对于同时属于小微企业、监狱企业或残疾人福利性单位的，不重复进行投标报价扣除。如有其它政策支持因素（如鼓励创新等）需一并列出。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2、投标报价得分四舍五入后，小数点后保留两位有效数。</w:t>
            </w:r>
          </w:p>
          <w:p>
            <w:pPr>
              <w:spacing w:line="240" w:lineRule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3、本项目所属行业：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Cs w:val="21"/>
                <w:highlight w:val="none"/>
                <w:u w:val="single"/>
              </w:rPr>
              <w:t>其他未列明行业。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内容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评分规则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bidi="ar"/>
              </w:rPr>
              <w:t>同类项目业绩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1.投标人近3年（2023年3月至招标公告发布之日止）具有展会设计及搭建服务、会议及活动策划类等同类项目业绩，每提供一项得5分。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2.本项累计最高得25分，不提供或者不能有效证明的，不得分。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1.供应商必须提供项目合同关键页复印件作为证明文件（包含合同正文首尾页、服务内容、签订时间、签章等关键信息页），合同签订时间为2023年3月1日至招标公告发布之日止，原件备查。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2.同一项目业绩不重复计分。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拟安排的项目团队情况</w:t>
            </w:r>
          </w:p>
        </w:tc>
        <w:tc>
          <w:tcPr>
            <w:tcW w:w="6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考察拟派项目负责人及团队的专业能力及经验。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1.项目负责人：具有本科或以上学历的得3分，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具有项目管理专业人士资格认证PM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证书，得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2.团队成员：团队成员要求为投标人单位自有员工，否则不计分。在此基础上进行评分：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（1）学历：项目成员具备本科及以上学历的，每提供一人得2分；具备大专学历的，每提供一人得1分；本项最高累计5人，最高不超过10分。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（2）项目经验 ：项目成员具有展会设计及搭建服务或大型活 动策划执行类项目经验的，每提供一人得 2 分，最高不超过 4 分；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（3）不提供或者不能有效证明的，得0分。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1.项目负责人及团队成员需提供近3个月内任意一个月的社  保缴纳证明或加盖公章的社保承诺函（必须是投标人为其缴纳  的社保），不提供不得分。如开标日上一个月的社保材料因社  保部门原因暂时无法取得，则可以往前顺延一个月。原件备查。新成立不足一个月的，提供自成立以来的社保证明。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2.涉及学历的 ，要求投标文件提供相应学历证书及学信网查 询记录，原件备查 。学信网无法查询的，需提供其他佐证材料 （如毕业院校、人社部门等颁发机构或监管机构等单位出具的 证明） ，留学归国人员如无法提供学信网查询记录截图，提供 国（境）外学历 、学位证书扫描件（ 以及中文翻译件）或教育 部留学服务中心出具的国外学历学位认证书扫描件【或教育部留学服务中心网（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instrText xml:space="preserve"> HYPERLINK "http://zwfw.cscse.edu.cn/" </w:instrTex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http://zwfw.cscse.edu.cn/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 ）在线查询截图】也予以认可。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3.项目经验需提供合同关键页复印件证明，及投标人加盖公章的项目成员参与证明。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对项目的整体理解（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策划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方案）</w:t>
            </w:r>
          </w:p>
        </w:tc>
        <w:tc>
          <w:tcPr>
            <w:tcW w:w="69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考察对项目需求、项目目的、项目内容是否有完整的理解，进行横向综合比较，提供《第四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届香港国际创科展深圳展团策展服务项目策划方案》，需包括：1.策展理念；2.布展思路；3.宣传推广等内容。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以上内容提供完整的得12分，缺少一项扣4分；在此基础上，对投标人响应情况进行分档评分：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1.优评分标准：对项目理解清晰准确到位、策展思路新颖、人员分工细致合理、宣传方式新颖传播性强，加8分。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2.良评分标准：对项目理解到位，策展思路具有一定操作性， 人员安排较合理，宣传方式传播性较强，加5分。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3.中评分标准：对项目理解有缺漏但基本到位，人员安排一般， 宣传方式传播性一般，加3分。</w:t>
            </w:r>
          </w:p>
          <w:p>
            <w:pPr>
              <w:pStyle w:val="3"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4.差评分标准：对项目理解有严重缺漏，人员分工不合理，宣 传方式传播性较弱，不加分。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展馆设计及搭建方案</w:t>
            </w:r>
          </w:p>
        </w:tc>
        <w:tc>
          <w:tcPr>
            <w:tcW w:w="6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（一）评审内容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：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结合项目实际情况，提供展区设计及搭建方案，需包括：1. 展区整体设计方案；2.展区企业展位设计方案；3.观展路线设计。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（二）评审标准：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以上内容提供完整的得9分，缺少一项扣3分；在此基础上对投标人响应情况进行分档评分：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1.展区整体设计方案与科技创新发展的主题契合度高， 企业展位设计内容考虑周到、呈现效果良好，观展路线设计合理，加6分；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2.展区整体设计方案与科技创新发展的主题契合度一般，展区企业平面布局设计内容考虑基本周到、呈现效果一般，观展路线设计基本合理，加3分；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3.展区整体设计方案与科技创新发展的主题契合度差， 展区企业平面布局设计内容考虑欠周到、呈现效果不佳，观展路线设计不合理，不加分。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zh-CN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项目进度计划</w:t>
            </w:r>
          </w:p>
        </w:tc>
        <w:tc>
          <w:tcPr>
            <w:tcW w:w="6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（一）评审内容：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考察项目整体实施时间是否紧凑、合理，提供项目进度计划安 排表。</w:t>
            </w:r>
          </w:p>
          <w:p>
            <w:pPr>
              <w:widowControl/>
              <w:spacing w:line="240" w:lineRule="auto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highlight w:val="none"/>
                <w:lang w:bidi="ar"/>
              </w:rPr>
              <w:t>（二）评审标准：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提供完整内容得 2 分，不提供不得分；在此基础上 ，对投标 人响应情况进行分档评分：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1.优评分标准：项目进度计划紧凑，时间安排合理，加3分。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2.良评分标准：项目进度计划到位，时间安排较合理，加2分。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3.中评分标准：项目进度计划一般，时间安排一般，加1分。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4.差评分标准：项目进度计划拖沓，时间安排不合理，不加分。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诚信管理情况</w:t>
            </w:r>
          </w:p>
        </w:tc>
        <w:tc>
          <w:tcPr>
            <w:tcW w:w="69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（一）评分内容：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根据《深圳市财政局关于印发&lt;深圳市财政局政府采购供应商 信用信息管理办法&gt; 的通知》（深财规〔2023〕3号）相关规定，如供应商在全国范围内存在因政府采购违法、违规行为受 到财政部门罚款等一般行政处罚信息，或者存在该办法第十一 条所称在本市集中采购活动中的一般违法失信行为记录信息， 且在公示期内的，本项不得分，否则得满分。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（二）评分依据:</w:t>
            </w:r>
          </w:p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 xml:space="preserve">采购代理机构通过“信用中国 ”、“中国政府采购网”、“深 圳市政府采购监管网”以及市、区财政部门认定的其他渠道查 </w:t>
            </w:r>
            <w:bookmarkStart w:id="0" w:name="bookmark7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询供应商信用信息，投标人无需提供证明材料。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CC7D"/>
    <w:rsid w:val="76EECC7D"/>
    <w:rsid w:val="AACFDFA7"/>
    <w:rsid w:val="ACB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3"/>
    <w:pPr>
      <w:spacing w:line="540" w:lineRule="exact"/>
      <w:jc w:val="left"/>
    </w:pPr>
    <w:rPr>
      <w:rFonts w:asci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2026-03-11T02:06:00Z</dcterms:created>
  <dc:creator>fzs</dc:creator>
  <cp:lastModifiedBy>fzs</cp:lastModifiedBy>
  <dcterms:modified xsi:type="dcterms:W3CDTF">2026-03-11T16:38:35Z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316FAF318CF055BA1BEDAF69F3F9641A</vt:lpwstr>
  </property>
</Properties>
</file>