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2BE4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1BBF8244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0A50BF4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河套深港科技创新合作区深圳园区关于支持</w:t>
      </w:r>
    </w:p>
    <w:p w14:paraId="5825B346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科技创新与产业发展的若干措施</w:t>
      </w:r>
    </w:p>
    <w:p w14:paraId="33D7CB82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color w:val="auto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24"/>
          <w:highlight w:val="none"/>
          <w:lang w:val="en-US" w:eastAsia="zh-CN" w:bidi="ar-SA"/>
        </w:rPr>
        <w:t>（征求意见稿）</w:t>
      </w:r>
    </w:p>
    <w:p w14:paraId="6A118473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24"/>
          <w:highlight w:val="none"/>
          <w:lang w:val="en-US" w:eastAsia="en-US" w:bidi="ar-SA"/>
        </w:rPr>
      </w:pPr>
    </w:p>
    <w:p w14:paraId="144E1058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为深入贯彻落实国务院《河套深港科技创新合作区深圳园区发展规划》（国发〔2023〕12号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以下简称《河套规划》）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t>战略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部署，充分发挥河套深港科技创新合作区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深圳园区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（以下简称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“深圳园区”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）作为深港科技创新开放合作先导区、国际先进科技创新规则试验区、粤港澳大湾区中试转化集聚区的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核心功能与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独特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优势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，立足深圳建设中国特色社会主义先行示范区的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战略全局，精准定位深圳园区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在全市科技创新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体系中的战略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角色，围绕人工智能、先进生物医药、前沿信息和能源材料等重点发展领域，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加速集聚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全球顶尖创新资源，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深化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深港及国际协同创新，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营造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国际化的开放创新生态，根据《深圳经济特区河套深港科技创新合作区深圳园区条例》等文件要求，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制定本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zh-CN" w:bidi="ar-SA"/>
        </w:rPr>
        <w:t>措施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lang w:val="en-US" w:eastAsia="en-US" w:bidi="ar-SA"/>
        </w:rPr>
        <w:t>。</w:t>
      </w:r>
    </w:p>
    <w:p w14:paraId="2CACCD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rPr>
          <w:rFonts w:hint="eastAsia"/>
          <w:color w:val="auto"/>
          <w:spacing w:val="-6"/>
          <w:highlight w:val="none"/>
          <w:lang w:val="en-US" w:eastAsia="zh-CN"/>
        </w:rPr>
      </w:pPr>
      <w:r>
        <w:rPr>
          <w:rFonts w:hint="eastAsia"/>
          <w:color w:val="auto"/>
          <w:spacing w:val="-6"/>
          <w:highlight w:val="none"/>
          <w:lang w:val="en-US" w:eastAsia="zh-CN"/>
        </w:rPr>
        <w:t>一、</w:t>
      </w:r>
      <w:r>
        <w:rPr>
          <w:rFonts w:hint="eastAsia"/>
          <w:color w:val="auto"/>
          <w:spacing w:val="-6"/>
          <w:highlight w:val="none"/>
          <w:lang w:val="en-US" w:eastAsia="zh"/>
        </w:rPr>
        <w:t>汇聚</w:t>
      </w:r>
      <w:r>
        <w:rPr>
          <w:rFonts w:hint="eastAsia"/>
          <w:color w:val="auto"/>
          <w:spacing w:val="-6"/>
          <w:highlight w:val="none"/>
          <w:lang w:val="en-US" w:eastAsia="zh-CN"/>
        </w:rPr>
        <w:t>顶尖</w:t>
      </w:r>
      <w:r>
        <w:rPr>
          <w:rFonts w:hint="eastAsia"/>
          <w:color w:val="auto"/>
          <w:spacing w:val="-6"/>
          <w:highlight w:val="none"/>
          <w:lang w:val="en-US" w:eastAsia="zh"/>
        </w:rPr>
        <w:t>创新要素</w:t>
      </w:r>
      <w:r>
        <w:rPr>
          <w:rFonts w:hint="eastAsia"/>
          <w:color w:val="auto"/>
          <w:spacing w:val="-6"/>
          <w:highlight w:val="none"/>
          <w:lang w:val="en-US" w:eastAsia="zh-CN"/>
        </w:rPr>
        <w:t>，打造科技创新开放合作先导区</w:t>
      </w:r>
    </w:p>
    <w:p w14:paraId="52997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（一）支持建设国际化高水平科研机构。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支持国际知名高校、顶尖科研机构以及国家级实验室在深圳园区建设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" w:bidi="ar-SA"/>
        </w:rPr>
        <w:t>卓越研究中心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高水平科研机构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。对符合条件的科研机构给予不超过5000万元建设支持；对已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" w:bidi="ar-SA"/>
        </w:rPr>
        <w:t>建成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的机构，经绩效评估，给予每年不超过2000万元运行支持。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对与国家省市各级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政府签署合作协议的重大战略性科研机构，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按上级部门要求给予支持。</w:t>
      </w:r>
    </w:p>
    <w:p w14:paraId="1DB16CC0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（二）支持共建国际协同创新平台。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深圳园区创新主体与国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内外顶尖力量在深圳园区共建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国际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联合实验室、前沿交叉研究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等协同创新平台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支持全国重点实验室设立河套研究平台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对符合条件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的平台给予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不超过10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建设支持；对已建成的平台，经绩效评估，给予每年不超过300万元运行支持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BCDC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（三）支持引进国际顶尖企业研发中心。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支持国际顶尖研发企业、国际创新领军企业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在深圳园区设立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研发中心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对符合条件的企业研发中心，给予不超过1000万元建设支持。</w:t>
      </w:r>
    </w:p>
    <w:p w14:paraId="205D53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rPr>
          <w:rFonts w:hint="default"/>
          <w:color w:val="auto"/>
          <w:spacing w:val="-6"/>
          <w:highlight w:val="none"/>
          <w:rtl w:val="0"/>
          <w:lang w:val="en-US" w:eastAsia="zh-CN"/>
        </w:rPr>
      </w:pPr>
      <w:r>
        <w:rPr>
          <w:rFonts w:hint="eastAsia"/>
          <w:color w:val="auto"/>
          <w:spacing w:val="-6"/>
          <w:highlight w:val="none"/>
          <w:rtl w:val="0"/>
          <w:lang w:val="en-US" w:eastAsia="zh-CN"/>
        </w:rPr>
        <w:t>二</w:t>
      </w:r>
      <w:r>
        <w:rPr>
          <w:rFonts w:hint="eastAsia"/>
          <w:color w:val="auto"/>
          <w:spacing w:val="-6"/>
          <w:highlight w:val="none"/>
          <w:rtl w:val="0"/>
        </w:rPr>
        <w:t>、融通</w:t>
      </w:r>
      <w:r>
        <w:rPr>
          <w:rFonts w:hint="eastAsia"/>
          <w:color w:val="auto"/>
          <w:spacing w:val="-6"/>
          <w:highlight w:val="none"/>
          <w:rtl w:val="0"/>
          <w:lang w:eastAsia="zh"/>
        </w:rPr>
        <w:t>国际先进规则</w:t>
      </w:r>
      <w:r>
        <w:rPr>
          <w:rFonts w:hint="eastAsia"/>
          <w:color w:val="auto"/>
          <w:spacing w:val="-6"/>
          <w:highlight w:val="none"/>
          <w:rtl w:val="0"/>
          <w:lang w:eastAsia="zh-CN"/>
        </w:rPr>
        <w:t>，</w:t>
      </w:r>
      <w:r>
        <w:rPr>
          <w:rFonts w:hint="eastAsia"/>
          <w:color w:val="auto"/>
          <w:spacing w:val="-6"/>
          <w:highlight w:val="none"/>
          <w:rtl w:val="0"/>
          <w:lang w:val="en-US" w:eastAsia="zh-CN"/>
        </w:rPr>
        <w:t>建设一流创新规则试验区</w:t>
      </w:r>
    </w:p>
    <w:p w14:paraId="53291D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（四）支持承接国际科技合作项目。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鼓励深圳园区创新主体深度融入全球创新网络。对牵头或参与大科学计划、大科学工程的，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给予不超过2000万元支持。对承担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国际科技合作项目的，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给予不超过200万元支持。</w:t>
      </w:r>
    </w:p>
    <w:p w14:paraId="243DE0B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（五）支持对接国际规则开展探索研究。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支持面向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 w:bidi="ar-SA"/>
        </w:rPr>
        <w:t>重点发展领域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开展前沿性颠覆性源头创新，实施项目经理人制等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国际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先进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科研项目管理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规则，建立科研容错与尽职免责机制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。对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颠覆性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技术探索项目与前沿交叉研究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项目，给予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不超过</w:t>
      </w:r>
      <w:r>
        <w:rPr>
          <w:rFonts w:hint="default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000万元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 w:bidi="ar-SA"/>
        </w:rPr>
        <w:t>支持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。</w:t>
      </w:r>
    </w:p>
    <w:p w14:paraId="15A5BCA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spacing w:val="-6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（六）支持国际科技功能型机构集聚发展。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支持国际科技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与产业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组织、标准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编制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与认证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组织及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依托平台、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国际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学术出版集团、专业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科技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数据库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 w:bidi="ar-SA"/>
        </w:rPr>
        <w:t>、开源技术社区、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国际科技期刊运营主体、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国际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专业服务机构等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功能型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bidi="ar-SA"/>
        </w:rPr>
        <w:t>机构入驻，给予不超过300万元建设支持；建成运营后，经绩效评估给予每年不超过200万元运行支持。</w:t>
      </w:r>
    </w:p>
    <w:p w14:paraId="252EB41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rPr>
          <w:rFonts w:hint="eastAsia"/>
          <w:color w:val="auto"/>
          <w:spacing w:val="-6"/>
          <w:highlight w:val="none"/>
          <w:lang w:val="en-US" w:eastAsia="zh-CN"/>
        </w:rPr>
      </w:pPr>
      <w:r>
        <w:rPr>
          <w:rFonts w:hint="eastAsia"/>
          <w:color w:val="auto"/>
          <w:spacing w:val="-6"/>
          <w:highlight w:val="none"/>
          <w:lang w:val="en-US" w:eastAsia="zh-CN"/>
        </w:rPr>
        <w:t>三、加速科技成果转化，构筑国际中试转化集聚区</w:t>
      </w:r>
    </w:p>
    <w:p w14:paraId="7138CF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）支持引进高水平产业孵化载体。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支持知名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品牌孵化器、加速器、风投机构、技术转移中心等科创服务主体，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在深圳园区设立和运营跨境双向孵化平台。对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符合条件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孵化载体给予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不超过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1000万元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zh-CN" w:bidi="ar-SA"/>
        </w:rPr>
        <w:t>建设支持；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对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已建成的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孵化载体，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经绩效评估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给予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每年不超过200万元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运行支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en-US"/>
        </w:rPr>
        <w:t>持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en-US"/>
        </w:rPr>
        <w:t>支持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国内外优秀青年团队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en-US"/>
        </w:rPr>
        <w:t>在重点产业领域开展创新创业活动，择优给予不超过30万元启动支持。</w:t>
      </w:r>
    </w:p>
    <w:p w14:paraId="2AEF75C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八）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  <w:lang w:val="en-US" w:eastAsia="zh-CN"/>
        </w:rPr>
        <w:t>支持建设专业中试转化平台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支持国内外顶尖高校、科研院所、行业领军企业及新型研发机构在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" w:bidi="ar-SA"/>
        </w:rPr>
        <w:t>深圳园区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建设面向产业需求的开放式、专业化中试平台</w:t>
      </w:r>
      <w:r>
        <w:rPr>
          <w:rFonts w:hint="eastAsia" w:ascii="仿宋_GB2312" w:hAnsi="Aptos" w:eastAsia="仿宋_GB2312" w:cs="仿宋_GB2312"/>
          <w:b w:val="0"/>
          <w:color w:val="auto"/>
          <w:spacing w:val="-6"/>
          <w:kern w:val="0"/>
          <w:sz w:val="32"/>
          <w:szCs w:val="32"/>
          <w:highlight w:val="none"/>
          <w:lang w:val="en-US" w:eastAsia="zh" w:bidi="ar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对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zh-CN" w:bidi="ar-SA"/>
        </w:rPr>
        <w:t>新建设的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中试平台，给予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不超过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en-US" w:bidi="ar-SA"/>
        </w:rPr>
        <w:t>000万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32"/>
          <w:highlight w:val="none"/>
          <w:lang w:val="en-US" w:eastAsia="zh-CN" w:bidi="ar-SA"/>
        </w:rPr>
        <w:t>元建设支持</w:t>
      </w:r>
      <w:r>
        <w:rPr>
          <w:rFonts w:hint="eastAsia" w:ascii="仿宋_GB2312" w:hAnsi="仿宋_GB2312" w:eastAsia="仿宋_GB2312" w:cs="仿宋_GB2312"/>
          <w:b w:val="0"/>
          <w:color w:val="000000"/>
          <w:spacing w:val="-6"/>
          <w:sz w:val="32"/>
          <w:szCs w:val="24"/>
          <w:highlight w:val="none"/>
          <w:rtl w:val="0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" w:bidi="ar-SA"/>
        </w:rPr>
        <w:t>对建成并投入</w:t>
      </w:r>
      <w:r>
        <w:rPr>
          <w:rFonts w:hint="default" w:ascii="仿宋_GB2312" w:hAnsi="Aptos" w:eastAsia="仿宋_GB2312" w:cs="仿宋_GB2312"/>
          <w:b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运营</w:t>
      </w:r>
      <w:r>
        <w:rPr>
          <w:rFonts w:hint="eastAsia" w:ascii="仿宋_GB2312" w:hAnsi="Aptos" w:eastAsia="仿宋_GB2312" w:cs="仿宋_GB2312"/>
          <w:b w:val="0"/>
          <w:color w:val="auto"/>
          <w:spacing w:val="-6"/>
          <w:kern w:val="0"/>
          <w:sz w:val="32"/>
          <w:szCs w:val="32"/>
          <w:highlight w:val="none"/>
          <w:lang w:val="en-US" w:eastAsia="zh" w:bidi="ar"/>
        </w:rPr>
        <w:t>的中试平台</w:t>
      </w:r>
      <w:r>
        <w:rPr>
          <w:rFonts w:hint="default" w:ascii="仿宋_GB2312" w:hAnsi="Aptos" w:eastAsia="仿宋_GB2312" w:cs="仿宋_GB2312"/>
          <w:b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经绩效评估，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给予每年不超过500万元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运行支持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4B20B8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（九）支持</w:t>
      </w:r>
      <w:r>
        <w:rPr>
          <w:rFonts w:hint="eastAsia" w:ascii="楷体_GB2312" w:hAnsi="楷体_GB2312" w:eastAsia="楷体_GB2312" w:cs="楷体_GB2312"/>
          <w:i w:val="0"/>
          <w:color w:val="auto"/>
          <w:spacing w:val="-6"/>
          <w:sz w:val="32"/>
          <w:szCs w:val="32"/>
          <w:highlight w:val="none"/>
          <w:rtl w:val="0"/>
          <w:lang w:val="en-US" w:eastAsia="zh-CN"/>
        </w:rPr>
        <w:t>海内外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技术成果落地转化</w:t>
      </w:r>
      <w:r>
        <w:rPr>
          <w:rFonts w:hint="eastAsia" w:ascii="楷体_GB2312" w:hAnsi="楷体_GB2312" w:eastAsia="楷体_GB2312" w:cs="楷体_GB2312"/>
          <w:i w:val="0"/>
          <w:color w:val="auto"/>
          <w:spacing w:val="-6"/>
          <w:sz w:val="32"/>
          <w:szCs w:val="32"/>
          <w:highlight w:val="none"/>
          <w:rtl w:val="0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对已获国家和省市级科技计划、港澳特区政府资助的项目予以简化评审，给予不超过1000万元中试项目建设支持。对在深圳园区完成中试并计划在市内进行产业化生产的项目，给予不超过200万元启动支持。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t>建立“拨投联动</w:t>
      </w:r>
      <w:r>
        <w:rPr>
          <w:rStyle w:val="19"/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footnoteReference w:id="0"/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t>”机制，并对成功转化的被投项目探索实施政府基金“投后让利</w:t>
      </w:r>
      <w:r>
        <w:rPr>
          <w:rStyle w:val="19"/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footnoteReference w:id="1"/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rtl w:val="0"/>
          <w:lang w:val="en-US" w:eastAsia="zh-CN" w:bidi="ar-SA"/>
        </w:rPr>
        <w:t>”。</w:t>
      </w:r>
    </w:p>
    <w:p w14:paraId="69519534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十</w:t>
      </w:r>
      <w:r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支持降低科技服务与成果转化成本</w:t>
      </w:r>
      <w:r>
        <w:rPr>
          <w:rFonts w:hint="eastAsia" w:ascii="楷体_GB2312" w:hAnsi="楷体_GB2312" w:eastAsia="楷体_GB2312" w:cs="楷体_GB2312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设立推广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河套创新券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”。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创新券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可用于购买经认定的深港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服务机构提供的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检测服务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、信息服务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、技术开发服务、知识产权服务、标准咨询服务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配套服务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深圳园区内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研发办公空间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使用共享研发设备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支持举办国际学术交流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</w:rPr>
        <w:t>活动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。对符合条件的深圳园区创新主体，按其上一年度实际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发生并经核定的相关服务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合同金额的一定比例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创新券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兑现补助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，每年累计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兑现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不超过500万元。</w:t>
      </w:r>
    </w:p>
    <w:p w14:paraId="7BD7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lang w:val="en-US" w:eastAsia="en-US" w:bidi="ar-SA"/>
        </w:rPr>
        <w:t>附则</w:t>
      </w:r>
    </w:p>
    <w:p w14:paraId="0879360E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本措施执行期间如遇国家、省、市有关政策及规定调整的，从其规定。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本措施与本市其他同类优惠措施，按照就高不就低的原则申报，不重复资助，相关资助额度受年度总额控制。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本措施由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河套深港科技创新合作区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深圳园区发展署负责解释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并会同市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相关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职能部门制定和发布各项支持条款的具体实施细则或操作规程，包括但不限于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申报条件、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评审标准、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审核程序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、资金拨付、绩效评估、监督管理等内容。</w:t>
      </w:r>
    </w:p>
    <w:p w14:paraId="03332675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yellow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24"/>
          <w:highlight w:val="none"/>
          <w:rtl w:val="0"/>
          <w:lang w:val="en-US" w:eastAsia="zh-CN" w:bidi="ar-SA"/>
        </w:rPr>
        <w:t>本措施的支持政策，在同一年度内，同一家科研机构可获得最高5000万元支持，同一家科技企业可获得最高2000万元支持。申请主体须对申报材料的真实性、合法性负责，并签署诚信承诺书。对存在弄虚作假、恶意骗补等行为的主体，将取消其享受本措施支持的资格，并依法依规追回已拨付资金及追究相应责任。</w:t>
      </w:r>
    </w:p>
    <w:p w14:paraId="712A72D6"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topLinePunct w:val="0"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本措施自202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年X月X日起实施，有效期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pacing w:val="-6"/>
          <w:sz w:val="32"/>
          <w:szCs w:val="32"/>
          <w:highlight w:val="none"/>
          <w:lang w:val="en-US" w:eastAsia="en-US" w:bidi="ar-SA"/>
        </w:rPr>
        <w:t>年。</w:t>
      </w:r>
    </w:p>
    <w:sectPr>
      <w:footerReference r:id="rId4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5120F6-E576-40EE-A5AB-0E19956DBB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7C196F-51C4-4282-A73D-16861783CC4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702562-DD23-4AFC-88C4-5077044C6F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0A6E26-E66D-4C0D-AB73-0D2EAD99CD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E6CD23F-C703-443A-96B8-00BA7C5C85A5}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90ED88E9-7862-4610-B5AF-9DF89767EE6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CDAC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4926F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4926F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2535887">
      <w:pPr>
        <w:pStyle w:val="13"/>
        <w:snapToGrid w:val="0"/>
      </w:pPr>
      <w:r>
        <w:rPr>
          <w:rStyle w:val="19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  <w:sz w:val="21"/>
          <w:szCs w:val="32"/>
        </w:rPr>
        <w:t>“拨投联动”是一种财政资金与股权投资联动的创新支持机制，通过“先拨款、后转股”的方式推动科技创新。政府前期以财政补助形式为项目提供资金支持，并在项目中期验收达标或满足约定条件后，将财政资金转化为股权，由特定机构代持。待项目进入成熟阶段，政府股权将遵循“适当收益”原则逐步退出，回收资金继续用于支持其他科创项目，形成财政资金循环利用的长效机制。</w:t>
      </w:r>
      <w:r>
        <w:rPr>
          <w:rFonts w:hint="eastAsia" w:ascii="仿宋_GB2312" w:hAnsi="仿宋_GB2312" w:eastAsia="仿宋_GB2312" w:cs="仿宋_GB2312"/>
          <w:sz w:val="21"/>
          <w:szCs w:val="32"/>
          <w:lang w:val="en-US" w:eastAsia="zh-CN"/>
        </w:rPr>
        <w:t>具体转股机制将在后续申报指南中进行明确。</w:t>
      </w:r>
    </w:p>
  </w:footnote>
  <w:footnote w:id="1">
    <w:p w14:paraId="026742C7">
      <w:pPr>
        <w:pStyle w:val="13"/>
        <w:snapToGrid w:val="0"/>
        <w:rPr>
          <w:rFonts w:hint="eastAsia" w:ascii="仿宋_GB2312" w:hAnsi="仿宋_GB2312" w:eastAsia="仿宋_GB2312" w:cs="仿宋_GB2312"/>
          <w:sz w:val="21"/>
          <w:szCs w:val="32"/>
        </w:rPr>
      </w:pPr>
      <w:r>
        <w:rPr>
          <w:rStyle w:val="19"/>
          <w:rFonts w:hint="eastAsia" w:ascii="仿宋_GB2312" w:hAnsi="仿宋_GB2312" w:eastAsia="仿宋_GB2312" w:cs="仿宋_GB2312"/>
          <w:sz w:val="21"/>
          <w:szCs w:val="32"/>
        </w:rPr>
        <w:footnoteRef/>
      </w:r>
      <w:r>
        <w:rPr>
          <w:rFonts w:hint="eastAsia" w:ascii="仿宋_GB2312" w:hAnsi="仿宋_GB2312" w:eastAsia="仿宋_GB2312" w:cs="仿宋_GB2312"/>
          <w:sz w:val="21"/>
          <w:szCs w:val="32"/>
        </w:rPr>
        <w:t xml:space="preserve"> “投后让利”指政府引导类投资基金在收回本金或达到基本收益后，将超额收益的部分或全部，以现金奖励、费用减免、股权让利等方式</w:t>
      </w:r>
      <w:r>
        <w:rPr>
          <w:rFonts w:hint="eastAsia" w:ascii="仿宋_GB2312" w:hAnsi="仿宋_GB2312" w:eastAsia="仿宋_GB2312" w:cs="仿宋_GB2312"/>
          <w:sz w:val="21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32"/>
        </w:rPr>
        <w:t>有条件地让渡给在本地实现既定产业化目标的被投企业</w:t>
      </w:r>
      <w:r>
        <w:rPr>
          <w:rFonts w:hint="eastAsia" w:ascii="仿宋_GB2312" w:hAnsi="仿宋_GB2312" w:eastAsia="仿宋_GB2312" w:cs="仿宋_GB2312"/>
          <w:sz w:val="21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32"/>
        </w:rPr>
        <w:t>让利的具体</w:t>
      </w:r>
      <w:r>
        <w:rPr>
          <w:rFonts w:hint="eastAsia" w:ascii="仿宋_GB2312" w:hAnsi="仿宋_GB2312" w:eastAsia="仿宋_GB2312" w:cs="仿宋_GB2312"/>
          <w:sz w:val="21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21"/>
          <w:szCs w:val="32"/>
        </w:rPr>
        <w:t>和条件</w:t>
      </w:r>
      <w:r>
        <w:rPr>
          <w:rFonts w:hint="eastAsia" w:ascii="仿宋_GB2312" w:hAnsi="仿宋_GB2312" w:eastAsia="仿宋_GB2312" w:cs="仿宋_GB2312"/>
          <w:sz w:val="21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1"/>
          <w:szCs w:val="32"/>
        </w:rPr>
        <w:t>在协议中</w:t>
      </w:r>
      <w:r>
        <w:rPr>
          <w:rFonts w:hint="eastAsia" w:ascii="仿宋_GB2312" w:hAnsi="仿宋_GB2312" w:eastAsia="仿宋_GB2312" w:cs="仿宋_GB2312"/>
          <w:sz w:val="21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21"/>
          <w:szCs w:val="32"/>
        </w:rPr>
        <w:t>约定。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28B9"/>
    <w:rsid w:val="003D46A4"/>
    <w:rsid w:val="00724E7B"/>
    <w:rsid w:val="00D855AC"/>
    <w:rsid w:val="00E22162"/>
    <w:rsid w:val="00FC3E1B"/>
    <w:rsid w:val="01530412"/>
    <w:rsid w:val="016E6EB4"/>
    <w:rsid w:val="01923431"/>
    <w:rsid w:val="019802B7"/>
    <w:rsid w:val="01AC6ACC"/>
    <w:rsid w:val="02315E1C"/>
    <w:rsid w:val="023F07EE"/>
    <w:rsid w:val="029A7B8D"/>
    <w:rsid w:val="02BF1304"/>
    <w:rsid w:val="030E40CB"/>
    <w:rsid w:val="03141BA8"/>
    <w:rsid w:val="033B4DFD"/>
    <w:rsid w:val="03C5569B"/>
    <w:rsid w:val="03C67374"/>
    <w:rsid w:val="03CF1909"/>
    <w:rsid w:val="03E41AA7"/>
    <w:rsid w:val="0410312B"/>
    <w:rsid w:val="04416A1B"/>
    <w:rsid w:val="04470F02"/>
    <w:rsid w:val="0449381C"/>
    <w:rsid w:val="04757CCA"/>
    <w:rsid w:val="0486427F"/>
    <w:rsid w:val="04E5656E"/>
    <w:rsid w:val="050936A9"/>
    <w:rsid w:val="0513210B"/>
    <w:rsid w:val="051D50C2"/>
    <w:rsid w:val="0523457F"/>
    <w:rsid w:val="05387376"/>
    <w:rsid w:val="05705425"/>
    <w:rsid w:val="057641A2"/>
    <w:rsid w:val="057E5747"/>
    <w:rsid w:val="05850883"/>
    <w:rsid w:val="05864B9D"/>
    <w:rsid w:val="05B87EE0"/>
    <w:rsid w:val="05C17191"/>
    <w:rsid w:val="062F37F6"/>
    <w:rsid w:val="063876A4"/>
    <w:rsid w:val="067E4C67"/>
    <w:rsid w:val="06DB4A1A"/>
    <w:rsid w:val="074B2F2B"/>
    <w:rsid w:val="07691ADF"/>
    <w:rsid w:val="07BF4A23"/>
    <w:rsid w:val="07EB3AEB"/>
    <w:rsid w:val="07ED25AB"/>
    <w:rsid w:val="07FF58D0"/>
    <w:rsid w:val="08176191"/>
    <w:rsid w:val="081B2E8C"/>
    <w:rsid w:val="0844151C"/>
    <w:rsid w:val="084C593E"/>
    <w:rsid w:val="087464A0"/>
    <w:rsid w:val="087D3DB0"/>
    <w:rsid w:val="08FD7646"/>
    <w:rsid w:val="09175C96"/>
    <w:rsid w:val="0924763A"/>
    <w:rsid w:val="092B3EE4"/>
    <w:rsid w:val="0A147EC3"/>
    <w:rsid w:val="0A1F35AA"/>
    <w:rsid w:val="0AA548DD"/>
    <w:rsid w:val="0AB1645E"/>
    <w:rsid w:val="0AB30097"/>
    <w:rsid w:val="0B5032E4"/>
    <w:rsid w:val="0C627450"/>
    <w:rsid w:val="0D2239C4"/>
    <w:rsid w:val="0D4E4E8D"/>
    <w:rsid w:val="0E030184"/>
    <w:rsid w:val="0E686F94"/>
    <w:rsid w:val="0E6930FA"/>
    <w:rsid w:val="0E6A2939"/>
    <w:rsid w:val="0E7D3B9C"/>
    <w:rsid w:val="0E87566C"/>
    <w:rsid w:val="0EA42F4A"/>
    <w:rsid w:val="0ED93911"/>
    <w:rsid w:val="0F2471D2"/>
    <w:rsid w:val="101178E2"/>
    <w:rsid w:val="10225B22"/>
    <w:rsid w:val="105C5E3E"/>
    <w:rsid w:val="109E2BE0"/>
    <w:rsid w:val="11026E95"/>
    <w:rsid w:val="11266569"/>
    <w:rsid w:val="11707B18"/>
    <w:rsid w:val="1194093F"/>
    <w:rsid w:val="11B3740F"/>
    <w:rsid w:val="11BF38D6"/>
    <w:rsid w:val="126956AB"/>
    <w:rsid w:val="12B337D7"/>
    <w:rsid w:val="13110EEC"/>
    <w:rsid w:val="13132D58"/>
    <w:rsid w:val="131C13C7"/>
    <w:rsid w:val="13590551"/>
    <w:rsid w:val="1415355B"/>
    <w:rsid w:val="1438254A"/>
    <w:rsid w:val="14667CD7"/>
    <w:rsid w:val="14E50530"/>
    <w:rsid w:val="14EC6947"/>
    <w:rsid w:val="152C6C3A"/>
    <w:rsid w:val="15331DDF"/>
    <w:rsid w:val="156A7238"/>
    <w:rsid w:val="156B0E9F"/>
    <w:rsid w:val="1611608C"/>
    <w:rsid w:val="16526482"/>
    <w:rsid w:val="16DF75FA"/>
    <w:rsid w:val="16E745C5"/>
    <w:rsid w:val="170B23B0"/>
    <w:rsid w:val="17AC6144"/>
    <w:rsid w:val="17E237A8"/>
    <w:rsid w:val="1819091F"/>
    <w:rsid w:val="18343965"/>
    <w:rsid w:val="189744F0"/>
    <w:rsid w:val="18D126E2"/>
    <w:rsid w:val="18F113DA"/>
    <w:rsid w:val="198D5B01"/>
    <w:rsid w:val="19E467DF"/>
    <w:rsid w:val="19FA6567"/>
    <w:rsid w:val="1A565B41"/>
    <w:rsid w:val="1AC76DF0"/>
    <w:rsid w:val="1AE247B4"/>
    <w:rsid w:val="1B322ED8"/>
    <w:rsid w:val="1B7C6139"/>
    <w:rsid w:val="1BB51C27"/>
    <w:rsid w:val="1BC17CE4"/>
    <w:rsid w:val="1BD12BBD"/>
    <w:rsid w:val="1BDA70A3"/>
    <w:rsid w:val="1BE829BB"/>
    <w:rsid w:val="1BEB424F"/>
    <w:rsid w:val="1BEF049C"/>
    <w:rsid w:val="1BF635DD"/>
    <w:rsid w:val="1C1342E0"/>
    <w:rsid w:val="1C183DA8"/>
    <w:rsid w:val="1C694EC9"/>
    <w:rsid w:val="1C7F331B"/>
    <w:rsid w:val="1CA76EDA"/>
    <w:rsid w:val="1CAA72F4"/>
    <w:rsid w:val="1CD23721"/>
    <w:rsid w:val="1CE61E1E"/>
    <w:rsid w:val="1CF2376C"/>
    <w:rsid w:val="1D184A27"/>
    <w:rsid w:val="1D442A33"/>
    <w:rsid w:val="1D5F77B4"/>
    <w:rsid w:val="1D624DEE"/>
    <w:rsid w:val="1D912237"/>
    <w:rsid w:val="1DB97CE3"/>
    <w:rsid w:val="1DD71A40"/>
    <w:rsid w:val="1E077056"/>
    <w:rsid w:val="1E1D0B27"/>
    <w:rsid w:val="1E366767"/>
    <w:rsid w:val="1E3E54D5"/>
    <w:rsid w:val="1E51224D"/>
    <w:rsid w:val="1E65493E"/>
    <w:rsid w:val="1E6D6A4F"/>
    <w:rsid w:val="1E883256"/>
    <w:rsid w:val="1EF000C7"/>
    <w:rsid w:val="1F522FE6"/>
    <w:rsid w:val="1FC81641"/>
    <w:rsid w:val="1FE65F6B"/>
    <w:rsid w:val="1FFB37C4"/>
    <w:rsid w:val="203717D3"/>
    <w:rsid w:val="20E27450"/>
    <w:rsid w:val="2150627C"/>
    <w:rsid w:val="21953D7D"/>
    <w:rsid w:val="21BC48F8"/>
    <w:rsid w:val="21F10022"/>
    <w:rsid w:val="22093C1D"/>
    <w:rsid w:val="222B6522"/>
    <w:rsid w:val="22A81BB2"/>
    <w:rsid w:val="22EC5857"/>
    <w:rsid w:val="23100A32"/>
    <w:rsid w:val="23775858"/>
    <w:rsid w:val="241671D5"/>
    <w:rsid w:val="24240BD5"/>
    <w:rsid w:val="24554228"/>
    <w:rsid w:val="2457557C"/>
    <w:rsid w:val="24A361D8"/>
    <w:rsid w:val="24A61396"/>
    <w:rsid w:val="24C6106E"/>
    <w:rsid w:val="2526350B"/>
    <w:rsid w:val="2609100D"/>
    <w:rsid w:val="26276C48"/>
    <w:rsid w:val="262A5F91"/>
    <w:rsid w:val="262B0974"/>
    <w:rsid w:val="26FB161C"/>
    <w:rsid w:val="277002D7"/>
    <w:rsid w:val="27E73DE2"/>
    <w:rsid w:val="285D7433"/>
    <w:rsid w:val="28643ED1"/>
    <w:rsid w:val="28D83E22"/>
    <w:rsid w:val="28E877B7"/>
    <w:rsid w:val="28F8677C"/>
    <w:rsid w:val="290615F9"/>
    <w:rsid w:val="291F2C81"/>
    <w:rsid w:val="299C31FE"/>
    <w:rsid w:val="29DE0B40"/>
    <w:rsid w:val="29EC6282"/>
    <w:rsid w:val="29F914B0"/>
    <w:rsid w:val="29FC5370"/>
    <w:rsid w:val="2A452559"/>
    <w:rsid w:val="2A573CED"/>
    <w:rsid w:val="2AB17718"/>
    <w:rsid w:val="2ADBB9F0"/>
    <w:rsid w:val="2B42499D"/>
    <w:rsid w:val="2B6C2FFE"/>
    <w:rsid w:val="2BA6006F"/>
    <w:rsid w:val="2BD55270"/>
    <w:rsid w:val="2BF13CCD"/>
    <w:rsid w:val="2C5267EE"/>
    <w:rsid w:val="2C5F7DCA"/>
    <w:rsid w:val="2C695404"/>
    <w:rsid w:val="2C7B2858"/>
    <w:rsid w:val="2C8E2938"/>
    <w:rsid w:val="2C9A2A5D"/>
    <w:rsid w:val="2C9D68F6"/>
    <w:rsid w:val="2CCB6C14"/>
    <w:rsid w:val="2D4F1E43"/>
    <w:rsid w:val="2D65408B"/>
    <w:rsid w:val="2D6F09FB"/>
    <w:rsid w:val="2DE8495E"/>
    <w:rsid w:val="2DFE13D5"/>
    <w:rsid w:val="2EA318BF"/>
    <w:rsid w:val="2EB028CA"/>
    <w:rsid w:val="2EB50BAF"/>
    <w:rsid w:val="2EF06BB2"/>
    <w:rsid w:val="2EF712B1"/>
    <w:rsid w:val="2F014BCE"/>
    <w:rsid w:val="2F0C62FC"/>
    <w:rsid w:val="2F1E5417"/>
    <w:rsid w:val="2F7B0C67"/>
    <w:rsid w:val="2F800415"/>
    <w:rsid w:val="2F827399"/>
    <w:rsid w:val="2F8E220C"/>
    <w:rsid w:val="2F966858"/>
    <w:rsid w:val="2FAB94A1"/>
    <w:rsid w:val="2FC516F9"/>
    <w:rsid w:val="2FE2540B"/>
    <w:rsid w:val="30043373"/>
    <w:rsid w:val="302957F7"/>
    <w:rsid w:val="306657C7"/>
    <w:rsid w:val="30BD1DCD"/>
    <w:rsid w:val="30CB39CD"/>
    <w:rsid w:val="30E33456"/>
    <w:rsid w:val="31033F3D"/>
    <w:rsid w:val="310C0BC2"/>
    <w:rsid w:val="311F22C9"/>
    <w:rsid w:val="31226852"/>
    <w:rsid w:val="31297D06"/>
    <w:rsid w:val="313401FD"/>
    <w:rsid w:val="31556D58"/>
    <w:rsid w:val="31A05F44"/>
    <w:rsid w:val="31A6285D"/>
    <w:rsid w:val="31BF2D00"/>
    <w:rsid w:val="32236A65"/>
    <w:rsid w:val="324E6AA5"/>
    <w:rsid w:val="32857654"/>
    <w:rsid w:val="32AB36A8"/>
    <w:rsid w:val="32B17026"/>
    <w:rsid w:val="32D377FC"/>
    <w:rsid w:val="331A3429"/>
    <w:rsid w:val="33531DC4"/>
    <w:rsid w:val="343D7670"/>
    <w:rsid w:val="346A4ED3"/>
    <w:rsid w:val="34D97BE6"/>
    <w:rsid w:val="34E3FB24"/>
    <w:rsid w:val="34EE3B20"/>
    <w:rsid w:val="352E438F"/>
    <w:rsid w:val="354316ED"/>
    <w:rsid w:val="35852913"/>
    <w:rsid w:val="359E4001"/>
    <w:rsid w:val="35AC5E63"/>
    <w:rsid w:val="360851DC"/>
    <w:rsid w:val="366B11D8"/>
    <w:rsid w:val="36B077BB"/>
    <w:rsid w:val="36BB098A"/>
    <w:rsid w:val="36D901BE"/>
    <w:rsid w:val="37333000"/>
    <w:rsid w:val="37623CD1"/>
    <w:rsid w:val="37845F34"/>
    <w:rsid w:val="37851E99"/>
    <w:rsid w:val="37D30D7B"/>
    <w:rsid w:val="37F17898"/>
    <w:rsid w:val="3810197F"/>
    <w:rsid w:val="381B73AA"/>
    <w:rsid w:val="38377167"/>
    <w:rsid w:val="38581F31"/>
    <w:rsid w:val="388D550F"/>
    <w:rsid w:val="3910494B"/>
    <w:rsid w:val="3917524F"/>
    <w:rsid w:val="391F42A8"/>
    <w:rsid w:val="393F3498"/>
    <w:rsid w:val="39463B04"/>
    <w:rsid w:val="39526922"/>
    <w:rsid w:val="39725FD8"/>
    <w:rsid w:val="39730417"/>
    <w:rsid w:val="3A0E4919"/>
    <w:rsid w:val="3A2A0CA5"/>
    <w:rsid w:val="3A382E2E"/>
    <w:rsid w:val="3A410860"/>
    <w:rsid w:val="3A897BE5"/>
    <w:rsid w:val="3AD921B0"/>
    <w:rsid w:val="3ADD023E"/>
    <w:rsid w:val="3AEE643E"/>
    <w:rsid w:val="3B1704E7"/>
    <w:rsid w:val="3B6C2FE7"/>
    <w:rsid w:val="3BBA0580"/>
    <w:rsid w:val="3BBD08B9"/>
    <w:rsid w:val="3C097407"/>
    <w:rsid w:val="3C097E71"/>
    <w:rsid w:val="3C355E58"/>
    <w:rsid w:val="3CB46D7D"/>
    <w:rsid w:val="3D324146"/>
    <w:rsid w:val="3D4D4D2D"/>
    <w:rsid w:val="3D7648DE"/>
    <w:rsid w:val="3D96284F"/>
    <w:rsid w:val="3DB04152"/>
    <w:rsid w:val="3DDE23B6"/>
    <w:rsid w:val="3DF838D4"/>
    <w:rsid w:val="3E2B5DB3"/>
    <w:rsid w:val="3E4C3ECF"/>
    <w:rsid w:val="3EAB6177"/>
    <w:rsid w:val="3ED5305D"/>
    <w:rsid w:val="3EF142B8"/>
    <w:rsid w:val="3EF30A49"/>
    <w:rsid w:val="3EFC05AA"/>
    <w:rsid w:val="3F362CE6"/>
    <w:rsid w:val="3F36616F"/>
    <w:rsid w:val="3F6E022F"/>
    <w:rsid w:val="3F827443"/>
    <w:rsid w:val="3FEB7C73"/>
    <w:rsid w:val="3FED1E64"/>
    <w:rsid w:val="3FF32005"/>
    <w:rsid w:val="3FF7A4D2"/>
    <w:rsid w:val="3FFB219A"/>
    <w:rsid w:val="3FFBCA74"/>
    <w:rsid w:val="404E1296"/>
    <w:rsid w:val="405577DE"/>
    <w:rsid w:val="40833BB1"/>
    <w:rsid w:val="40D43F1F"/>
    <w:rsid w:val="40DD1DDE"/>
    <w:rsid w:val="40F2256A"/>
    <w:rsid w:val="40F42740"/>
    <w:rsid w:val="416D2A1C"/>
    <w:rsid w:val="416D6B63"/>
    <w:rsid w:val="417C5FF0"/>
    <w:rsid w:val="41885A28"/>
    <w:rsid w:val="41AB5C73"/>
    <w:rsid w:val="41BC2116"/>
    <w:rsid w:val="41BE6B97"/>
    <w:rsid w:val="41CD4926"/>
    <w:rsid w:val="42CC6C2B"/>
    <w:rsid w:val="42E44B37"/>
    <w:rsid w:val="433A3D54"/>
    <w:rsid w:val="439A35C1"/>
    <w:rsid w:val="43CE77E5"/>
    <w:rsid w:val="43D30D27"/>
    <w:rsid w:val="440853D6"/>
    <w:rsid w:val="445F3CF9"/>
    <w:rsid w:val="448239F1"/>
    <w:rsid w:val="44880C0D"/>
    <w:rsid w:val="44994B5A"/>
    <w:rsid w:val="449D6D84"/>
    <w:rsid w:val="450A0170"/>
    <w:rsid w:val="45DF37A7"/>
    <w:rsid w:val="46177859"/>
    <w:rsid w:val="466E4440"/>
    <w:rsid w:val="46AD18F6"/>
    <w:rsid w:val="46AF0FD5"/>
    <w:rsid w:val="46DB28CC"/>
    <w:rsid w:val="47A11BFA"/>
    <w:rsid w:val="47B4088C"/>
    <w:rsid w:val="47B55F78"/>
    <w:rsid w:val="47E3038D"/>
    <w:rsid w:val="482533A1"/>
    <w:rsid w:val="484B126C"/>
    <w:rsid w:val="48CC18F2"/>
    <w:rsid w:val="48CE1945"/>
    <w:rsid w:val="48EA15E8"/>
    <w:rsid w:val="491A265E"/>
    <w:rsid w:val="49531B59"/>
    <w:rsid w:val="498A54BC"/>
    <w:rsid w:val="49A5461D"/>
    <w:rsid w:val="49A939AB"/>
    <w:rsid w:val="49B4519F"/>
    <w:rsid w:val="49FF132D"/>
    <w:rsid w:val="4A40594C"/>
    <w:rsid w:val="4A442C0D"/>
    <w:rsid w:val="4A4D582B"/>
    <w:rsid w:val="4A7707C6"/>
    <w:rsid w:val="4A792DB9"/>
    <w:rsid w:val="4A9664CA"/>
    <w:rsid w:val="4AB614C4"/>
    <w:rsid w:val="4AEC018B"/>
    <w:rsid w:val="4B123CAE"/>
    <w:rsid w:val="4B3A009C"/>
    <w:rsid w:val="4B484A8B"/>
    <w:rsid w:val="4B6A130B"/>
    <w:rsid w:val="4B881692"/>
    <w:rsid w:val="4BF10324"/>
    <w:rsid w:val="4C093B2B"/>
    <w:rsid w:val="4C160814"/>
    <w:rsid w:val="4CF74B14"/>
    <w:rsid w:val="4D203FBB"/>
    <w:rsid w:val="4D4128AF"/>
    <w:rsid w:val="4D65290F"/>
    <w:rsid w:val="4DC10127"/>
    <w:rsid w:val="4E7740AE"/>
    <w:rsid w:val="4E907096"/>
    <w:rsid w:val="4EFC3405"/>
    <w:rsid w:val="4F0F22F8"/>
    <w:rsid w:val="4F1F25C0"/>
    <w:rsid w:val="4F87736F"/>
    <w:rsid w:val="4F9803E1"/>
    <w:rsid w:val="4FDBEAB5"/>
    <w:rsid w:val="4FF81BD1"/>
    <w:rsid w:val="4FFC6ADD"/>
    <w:rsid w:val="50287571"/>
    <w:rsid w:val="50570923"/>
    <w:rsid w:val="507E1724"/>
    <w:rsid w:val="50B140F3"/>
    <w:rsid w:val="50C8299F"/>
    <w:rsid w:val="50E85E63"/>
    <w:rsid w:val="50EC27DC"/>
    <w:rsid w:val="50FD4A23"/>
    <w:rsid w:val="515D57DD"/>
    <w:rsid w:val="51C57711"/>
    <w:rsid w:val="52026457"/>
    <w:rsid w:val="520E62D7"/>
    <w:rsid w:val="52350265"/>
    <w:rsid w:val="524B1ADA"/>
    <w:rsid w:val="524F15CA"/>
    <w:rsid w:val="5255318B"/>
    <w:rsid w:val="52F42171"/>
    <w:rsid w:val="52FA681C"/>
    <w:rsid w:val="530768D7"/>
    <w:rsid w:val="53182367"/>
    <w:rsid w:val="53255084"/>
    <w:rsid w:val="535B64F2"/>
    <w:rsid w:val="535E67CA"/>
    <w:rsid w:val="537509E6"/>
    <w:rsid w:val="537569D6"/>
    <w:rsid w:val="53A72ECC"/>
    <w:rsid w:val="53B67A4C"/>
    <w:rsid w:val="53EE661E"/>
    <w:rsid w:val="53FF7E63"/>
    <w:rsid w:val="54060050"/>
    <w:rsid w:val="54396FBB"/>
    <w:rsid w:val="54A436A8"/>
    <w:rsid w:val="54E7BF01"/>
    <w:rsid w:val="55061EF5"/>
    <w:rsid w:val="55581484"/>
    <w:rsid w:val="559935F9"/>
    <w:rsid w:val="55B13EB6"/>
    <w:rsid w:val="55D744B5"/>
    <w:rsid w:val="55D83684"/>
    <w:rsid w:val="55DF7A82"/>
    <w:rsid w:val="563E34F8"/>
    <w:rsid w:val="568A7FF6"/>
    <w:rsid w:val="569E646F"/>
    <w:rsid w:val="571A43BF"/>
    <w:rsid w:val="57AC4777"/>
    <w:rsid w:val="57EF4464"/>
    <w:rsid w:val="5824135B"/>
    <w:rsid w:val="5844246E"/>
    <w:rsid w:val="58816F7A"/>
    <w:rsid w:val="58C07795"/>
    <w:rsid w:val="58E66C66"/>
    <w:rsid w:val="591326B2"/>
    <w:rsid w:val="598D5BC4"/>
    <w:rsid w:val="59AF4B3A"/>
    <w:rsid w:val="5A4931B3"/>
    <w:rsid w:val="5A4F4B4A"/>
    <w:rsid w:val="5AB346C0"/>
    <w:rsid w:val="5B1E422F"/>
    <w:rsid w:val="5B467474"/>
    <w:rsid w:val="5B5054CD"/>
    <w:rsid w:val="5B5E0BA1"/>
    <w:rsid w:val="5BE44E34"/>
    <w:rsid w:val="5C181A1E"/>
    <w:rsid w:val="5C191C84"/>
    <w:rsid w:val="5C602203"/>
    <w:rsid w:val="5CFE3A43"/>
    <w:rsid w:val="5D74663D"/>
    <w:rsid w:val="5D786B64"/>
    <w:rsid w:val="5E025534"/>
    <w:rsid w:val="5E1405E5"/>
    <w:rsid w:val="5E484E7E"/>
    <w:rsid w:val="5EAA44B8"/>
    <w:rsid w:val="5EBA8454"/>
    <w:rsid w:val="5EBC1B88"/>
    <w:rsid w:val="5ECD57C2"/>
    <w:rsid w:val="5ECF1469"/>
    <w:rsid w:val="5EFE6E0A"/>
    <w:rsid w:val="5F16266E"/>
    <w:rsid w:val="5F3804DD"/>
    <w:rsid w:val="5F3F29C6"/>
    <w:rsid w:val="5F4511F2"/>
    <w:rsid w:val="5F7F1948"/>
    <w:rsid w:val="5F8F74AA"/>
    <w:rsid w:val="5F9D9BA5"/>
    <w:rsid w:val="5FBF63D3"/>
    <w:rsid w:val="5FC11588"/>
    <w:rsid w:val="5FEA26F4"/>
    <w:rsid w:val="61477D51"/>
    <w:rsid w:val="61A84853"/>
    <w:rsid w:val="61AD25E2"/>
    <w:rsid w:val="61E2477F"/>
    <w:rsid w:val="61F5900C"/>
    <w:rsid w:val="622540F5"/>
    <w:rsid w:val="6248103B"/>
    <w:rsid w:val="62C54A8A"/>
    <w:rsid w:val="62EE1882"/>
    <w:rsid w:val="632919C3"/>
    <w:rsid w:val="63465F7C"/>
    <w:rsid w:val="636552BC"/>
    <w:rsid w:val="641E00A1"/>
    <w:rsid w:val="643D2FD1"/>
    <w:rsid w:val="64604D9E"/>
    <w:rsid w:val="64692F09"/>
    <w:rsid w:val="64856D76"/>
    <w:rsid w:val="64930237"/>
    <w:rsid w:val="64AC61BE"/>
    <w:rsid w:val="64BD16D7"/>
    <w:rsid w:val="65010824"/>
    <w:rsid w:val="6511265D"/>
    <w:rsid w:val="65891022"/>
    <w:rsid w:val="65913850"/>
    <w:rsid w:val="65AA4841"/>
    <w:rsid w:val="65C02775"/>
    <w:rsid w:val="665E4303"/>
    <w:rsid w:val="66773F23"/>
    <w:rsid w:val="66936969"/>
    <w:rsid w:val="669453A6"/>
    <w:rsid w:val="66A17198"/>
    <w:rsid w:val="66F46DA6"/>
    <w:rsid w:val="67213032"/>
    <w:rsid w:val="6754375A"/>
    <w:rsid w:val="67A52A8D"/>
    <w:rsid w:val="67B35789"/>
    <w:rsid w:val="67D3260E"/>
    <w:rsid w:val="67E20393"/>
    <w:rsid w:val="67FA392E"/>
    <w:rsid w:val="67FF220A"/>
    <w:rsid w:val="68256487"/>
    <w:rsid w:val="68376577"/>
    <w:rsid w:val="6841221D"/>
    <w:rsid w:val="68602D51"/>
    <w:rsid w:val="68983083"/>
    <w:rsid w:val="68F0545C"/>
    <w:rsid w:val="690E30BA"/>
    <w:rsid w:val="693B0EFE"/>
    <w:rsid w:val="693B6EF9"/>
    <w:rsid w:val="6940217B"/>
    <w:rsid w:val="694F49CD"/>
    <w:rsid w:val="69B1341E"/>
    <w:rsid w:val="69BA15C7"/>
    <w:rsid w:val="69EB4765"/>
    <w:rsid w:val="6A176D7A"/>
    <w:rsid w:val="6A5E5D27"/>
    <w:rsid w:val="6ABC5E2E"/>
    <w:rsid w:val="6B014FD4"/>
    <w:rsid w:val="6B083084"/>
    <w:rsid w:val="6BAA19C8"/>
    <w:rsid w:val="6BFE37CE"/>
    <w:rsid w:val="6C2607C5"/>
    <w:rsid w:val="6C4C2574"/>
    <w:rsid w:val="6C507E07"/>
    <w:rsid w:val="6C6A69B3"/>
    <w:rsid w:val="6C96436A"/>
    <w:rsid w:val="6CE83C17"/>
    <w:rsid w:val="6CF22D10"/>
    <w:rsid w:val="6D016AE3"/>
    <w:rsid w:val="6DAEA53C"/>
    <w:rsid w:val="6DE36485"/>
    <w:rsid w:val="6E162B44"/>
    <w:rsid w:val="6E2904A0"/>
    <w:rsid w:val="6E364F94"/>
    <w:rsid w:val="6E504B9B"/>
    <w:rsid w:val="6E5A1993"/>
    <w:rsid w:val="6E677844"/>
    <w:rsid w:val="6E7729C8"/>
    <w:rsid w:val="6EB02F99"/>
    <w:rsid w:val="6F3B700D"/>
    <w:rsid w:val="6F792722"/>
    <w:rsid w:val="6FF71927"/>
    <w:rsid w:val="6FF97BC2"/>
    <w:rsid w:val="70076BE8"/>
    <w:rsid w:val="700C73A1"/>
    <w:rsid w:val="70E065EF"/>
    <w:rsid w:val="711D729F"/>
    <w:rsid w:val="71476EFC"/>
    <w:rsid w:val="71593AA4"/>
    <w:rsid w:val="716F0EE9"/>
    <w:rsid w:val="717931B4"/>
    <w:rsid w:val="719D3AA5"/>
    <w:rsid w:val="71B51353"/>
    <w:rsid w:val="71BA682F"/>
    <w:rsid w:val="71F0647E"/>
    <w:rsid w:val="720951C9"/>
    <w:rsid w:val="72361547"/>
    <w:rsid w:val="72385C61"/>
    <w:rsid w:val="72DFB6DC"/>
    <w:rsid w:val="72FD7CE3"/>
    <w:rsid w:val="73860E3D"/>
    <w:rsid w:val="73A052BC"/>
    <w:rsid w:val="73D013F7"/>
    <w:rsid w:val="73EB5D0F"/>
    <w:rsid w:val="740A4021"/>
    <w:rsid w:val="74123D95"/>
    <w:rsid w:val="74177616"/>
    <w:rsid w:val="743A5E62"/>
    <w:rsid w:val="74584844"/>
    <w:rsid w:val="74664F7E"/>
    <w:rsid w:val="74B37821"/>
    <w:rsid w:val="74B54B6A"/>
    <w:rsid w:val="74D1BA77"/>
    <w:rsid w:val="7518079E"/>
    <w:rsid w:val="759251A6"/>
    <w:rsid w:val="75A97C89"/>
    <w:rsid w:val="75C55CE5"/>
    <w:rsid w:val="75D14092"/>
    <w:rsid w:val="75DD340A"/>
    <w:rsid w:val="75ED0A9F"/>
    <w:rsid w:val="75EE6CD9"/>
    <w:rsid w:val="762820FF"/>
    <w:rsid w:val="764D37CF"/>
    <w:rsid w:val="765C0550"/>
    <w:rsid w:val="7677F27B"/>
    <w:rsid w:val="769D7DD2"/>
    <w:rsid w:val="76BF646F"/>
    <w:rsid w:val="76D11CFE"/>
    <w:rsid w:val="76F8372F"/>
    <w:rsid w:val="771C1E04"/>
    <w:rsid w:val="776712EF"/>
    <w:rsid w:val="77EEE200"/>
    <w:rsid w:val="780D5216"/>
    <w:rsid w:val="78352544"/>
    <w:rsid w:val="784D072F"/>
    <w:rsid w:val="78DF8D69"/>
    <w:rsid w:val="78E35D19"/>
    <w:rsid w:val="7943144F"/>
    <w:rsid w:val="79470F0B"/>
    <w:rsid w:val="79570BE0"/>
    <w:rsid w:val="79768CBE"/>
    <w:rsid w:val="79894B12"/>
    <w:rsid w:val="798B59A2"/>
    <w:rsid w:val="79901246"/>
    <w:rsid w:val="7A363C86"/>
    <w:rsid w:val="7AC214B5"/>
    <w:rsid w:val="7AEF974E"/>
    <w:rsid w:val="7B2505A3"/>
    <w:rsid w:val="7B5573A2"/>
    <w:rsid w:val="7B9EEB63"/>
    <w:rsid w:val="7B9F019D"/>
    <w:rsid w:val="7BAE0AC7"/>
    <w:rsid w:val="7BD7ED49"/>
    <w:rsid w:val="7BDDBB4F"/>
    <w:rsid w:val="7BDF2AC6"/>
    <w:rsid w:val="7C7F141A"/>
    <w:rsid w:val="7CB11CDC"/>
    <w:rsid w:val="7CB54AAB"/>
    <w:rsid w:val="7D376633"/>
    <w:rsid w:val="7D5D6898"/>
    <w:rsid w:val="7D782C46"/>
    <w:rsid w:val="7D7ECD84"/>
    <w:rsid w:val="7D80622C"/>
    <w:rsid w:val="7D8A70BB"/>
    <w:rsid w:val="7DBF5449"/>
    <w:rsid w:val="7DDA1115"/>
    <w:rsid w:val="7DF064F7"/>
    <w:rsid w:val="7DF69DE3"/>
    <w:rsid w:val="7DFBDD8F"/>
    <w:rsid w:val="7E724359"/>
    <w:rsid w:val="7E80515D"/>
    <w:rsid w:val="7E884ABD"/>
    <w:rsid w:val="7EBE27A4"/>
    <w:rsid w:val="7EF822F8"/>
    <w:rsid w:val="7EFFED8F"/>
    <w:rsid w:val="7EFFEFBD"/>
    <w:rsid w:val="7F0D4ABD"/>
    <w:rsid w:val="7F0E3853"/>
    <w:rsid w:val="7F1D086B"/>
    <w:rsid w:val="7F4D426D"/>
    <w:rsid w:val="7F581D26"/>
    <w:rsid w:val="7F699320"/>
    <w:rsid w:val="7F7768EC"/>
    <w:rsid w:val="7FBD37D2"/>
    <w:rsid w:val="7FBE198D"/>
    <w:rsid w:val="7FBF12C9"/>
    <w:rsid w:val="7FCA5218"/>
    <w:rsid w:val="7FD35723"/>
    <w:rsid w:val="7FDDD79F"/>
    <w:rsid w:val="7FF08965"/>
    <w:rsid w:val="7FF6A805"/>
    <w:rsid w:val="7FFDA3EC"/>
    <w:rsid w:val="7FFF1B85"/>
    <w:rsid w:val="8AFFDAEA"/>
    <w:rsid w:val="8F9F255D"/>
    <w:rsid w:val="95F772F0"/>
    <w:rsid w:val="AE6F15F2"/>
    <w:rsid w:val="AFEB67DA"/>
    <w:rsid w:val="B1BC64F9"/>
    <w:rsid w:val="B5FF1638"/>
    <w:rsid w:val="B62FDBED"/>
    <w:rsid w:val="B77D965E"/>
    <w:rsid w:val="B77FE7A9"/>
    <w:rsid w:val="BBAF1759"/>
    <w:rsid w:val="BBCF5DB8"/>
    <w:rsid w:val="BD47468C"/>
    <w:rsid w:val="BDDF8140"/>
    <w:rsid w:val="BDFB0B13"/>
    <w:rsid w:val="BEEF2B36"/>
    <w:rsid w:val="BEFFB31F"/>
    <w:rsid w:val="BF9FE672"/>
    <w:rsid w:val="BFFC4436"/>
    <w:rsid w:val="D4F7DA93"/>
    <w:rsid w:val="D5FF00F2"/>
    <w:rsid w:val="D777BA3D"/>
    <w:rsid w:val="D7AC7195"/>
    <w:rsid w:val="D7BDE2CA"/>
    <w:rsid w:val="DA3A17A2"/>
    <w:rsid w:val="DBE3DB10"/>
    <w:rsid w:val="DD66F7AE"/>
    <w:rsid w:val="DDED551A"/>
    <w:rsid w:val="DE6F7D4A"/>
    <w:rsid w:val="DF3DAD4A"/>
    <w:rsid w:val="DFBEFDE9"/>
    <w:rsid w:val="DFFDD45B"/>
    <w:rsid w:val="DFFF79F2"/>
    <w:rsid w:val="E3FF7135"/>
    <w:rsid w:val="E6FBBEA4"/>
    <w:rsid w:val="E73BB22E"/>
    <w:rsid w:val="E74E7737"/>
    <w:rsid w:val="E99FD0A1"/>
    <w:rsid w:val="E9F6C739"/>
    <w:rsid w:val="EBBBA24B"/>
    <w:rsid w:val="EE2FE49C"/>
    <w:rsid w:val="EFB82EF9"/>
    <w:rsid w:val="EFF68F12"/>
    <w:rsid w:val="F2BBE5D1"/>
    <w:rsid w:val="F3EFE801"/>
    <w:rsid w:val="F3FB569A"/>
    <w:rsid w:val="F69B1F04"/>
    <w:rsid w:val="F6B71C9A"/>
    <w:rsid w:val="F6FF98DF"/>
    <w:rsid w:val="F7C9F198"/>
    <w:rsid w:val="F7F9ACD0"/>
    <w:rsid w:val="F9DF598D"/>
    <w:rsid w:val="F9F50078"/>
    <w:rsid w:val="FA97584B"/>
    <w:rsid w:val="FB7F234D"/>
    <w:rsid w:val="FCE94B48"/>
    <w:rsid w:val="FCFBE8B3"/>
    <w:rsid w:val="FD5E6396"/>
    <w:rsid w:val="FDB6A3A3"/>
    <w:rsid w:val="FDCF6E3E"/>
    <w:rsid w:val="FDD7AAB5"/>
    <w:rsid w:val="FDE592C4"/>
    <w:rsid w:val="FDFF056F"/>
    <w:rsid w:val="FEDE17EC"/>
    <w:rsid w:val="FF39876E"/>
    <w:rsid w:val="FF777540"/>
    <w:rsid w:val="FF77F08F"/>
    <w:rsid w:val="FF78C916"/>
    <w:rsid w:val="FF7DBEC8"/>
    <w:rsid w:val="FF7F2294"/>
    <w:rsid w:val="FF7F96DD"/>
    <w:rsid w:val="FFA74851"/>
    <w:rsid w:val="FFBF4300"/>
    <w:rsid w:val="FFD69E77"/>
    <w:rsid w:val="FFEF9FCB"/>
    <w:rsid w:val="FFF7471D"/>
    <w:rsid w:val="FFFDC8CE"/>
    <w:rsid w:val="FFFF438A"/>
    <w:rsid w:val="FFFF5AFB"/>
    <w:rsid w:val="FFFFE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6"/>
    <w:next w:val="1"/>
    <w:qFormat/>
    <w:uiPriority w:val="0"/>
    <w:pPr>
      <w:keepNext w:val="0"/>
      <w:keepLine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560" w:lineRule="exact"/>
      <w:outlineLvl w:val="0"/>
    </w:pPr>
    <w:rPr>
      <w:rFonts w:ascii="黑体" w:hAnsi="黑体" w:eastAsia="黑体" w:cs="黑体"/>
      <w:bCs/>
      <w:color w:val="1B1C1D"/>
      <w:sz w:val="32"/>
      <w:szCs w:val="32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8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54A1" w:themeColor="accent1" w:themeShade="BF"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before="180" w:after="18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Body Text First Indent 2"/>
    <w:basedOn w:val="10"/>
    <w:qFormat/>
    <w:uiPriority w:val="0"/>
    <w:pPr>
      <w:ind w:firstLine="420" w:firstLineChars="200"/>
    </w:p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footnote reference"/>
    <w:basedOn w:val="16"/>
    <w:qFormat/>
    <w:uiPriority w:val="0"/>
    <w:rPr>
      <w:vertAlign w:val="superscript"/>
    </w:rPr>
  </w:style>
  <w:style w:type="character" w:customStyle="1" w:styleId="20">
    <w:name w:val="font10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21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8a61dfc7-c00a-47e5-a626-f3275b2f56a1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144E1058</paraID>
      <start>213</start>
      <end>214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15d5d-8ef3-43d3-8f85-5d2d70797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1547</Words>
  <Characters>1593</Characters>
  <Lines>1</Lines>
  <Paragraphs>1</Paragraphs>
  <TotalTime>9</TotalTime>
  <ScaleCrop>false</ScaleCrop>
  <LinksUpToDate>false</LinksUpToDate>
  <CharactersWithSpaces>1593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2025-05-30T04:53:00Z</dcterms:created>
  <dc:creator>admin</dc:creator>
  <cp:lastModifiedBy>Long</cp:lastModifiedBy>
  <cp:lastPrinted>2025-12-12T13:50:00Z</cp:lastPrinted>
  <dcterms:modified xsi:type="dcterms:W3CDTF">2026-02-13T03:40:25Z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eyJoZGlkIjoiNTYyYTI5MzBlYWMwMDUxY2MwZmI4ZGUxZDU2YTQ3NzQiLCJ1c2VySWQiOiIyNDUxNTI0MTAifQ==</vt:lpwstr>
  </property>
  <property fmtid="{D5CDD505-2E9C-101B-9397-08002B2CF9AE}" pid="4" name="ICV">
    <vt:lpwstr>66F23E61E6244DDDB254FCD15AD281BB_13</vt:lpwstr>
  </property>
</Properties>
</file>