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2BE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1BBF82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A50BF4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河套深港科技创新合作区深圳园区关于支持</w:t>
      </w:r>
    </w:p>
    <w:p w14:paraId="5825B34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科技创新与产业发展的若干措施</w:t>
      </w:r>
    </w:p>
    <w:p w14:paraId="33D7CB82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color w:val="auto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24"/>
          <w:highlight w:val="none"/>
          <w:lang w:val="en-US" w:eastAsia="zh-CN" w:bidi="ar-SA"/>
        </w:rPr>
        <w:t>（征求意见稿）</w:t>
      </w:r>
    </w:p>
    <w:p w14:paraId="6A118473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24"/>
          <w:highlight w:val="none"/>
          <w:lang w:val="en-US" w:eastAsia="en-US" w:bidi="ar-SA"/>
        </w:rPr>
      </w:pPr>
    </w:p>
    <w:p w14:paraId="144E1058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为深入贯彻落实国务院《河套深港科技创新合作区深圳园区发展规划》（国发〔2023〕12号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以下简称《河套规划》）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战略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部署，充分发挥河套深港科技创新合作区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深圳园区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（以下简称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“深圳园区”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）作为深港科技创新开放合作先导区、国际先进科技创新规则试验区、粤港澳大湾区中试转化集聚区的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核心功能与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独特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优势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，立足深圳建设中国特色社会主义先行示范区的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战略全局，精准定位深圳园区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在全市科技创新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体系中的战略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角色，围绕人工智能、先进生物医药、前沿信息和能源材料等重点发展领域，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加速集聚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全球顶尖创新资源，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深化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深港及国际协同创新，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营造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国际化的开放创新生态，根据《深圳经济特区河套深港科技创新合作区深圳园区条例》等文件要求，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制定本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措施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。</w:t>
      </w:r>
    </w:p>
    <w:p w14:paraId="2CACCD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eastAsia"/>
          <w:color w:val="auto"/>
          <w:spacing w:val="-6"/>
          <w:highlight w:val="none"/>
          <w:lang w:val="en-US" w:eastAsia="zh-CN"/>
        </w:rPr>
      </w:pPr>
      <w:r>
        <w:rPr>
          <w:rFonts w:hint="eastAsia"/>
          <w:color w:val="auto"/>
          <w:spacing w:val="-6"/>
          <w:highlight w:val="none"/>
          <w:lang w:val="en-US" w:eastAsia="zh-CN"/>
        </w:rPr>
        <w:t>一、</w:t>
      </w:r>
      <w:r>
        <w:rPr>
          <w:rFonts w:hint="eastAsia"/>
          <w:color w:val="auto"/>
          <w:spacing w:val="-6"/>
          <w:highlight w:val="none"/>
          <w:lang w:val="en-US" w:eastAsia="zh"/>
        </w:rPr>
        <w:t>汇聚</w:t>
      </w:r>
      <w:r>
        <w:rPr>
          <w:rFonts w:hint="eastAsia"/>
          <w:color w:val="auto"/>
          <w:spacing w:val="-6"/>
          <w:highlight w:val="none"/>
          <w:lang w:val="en-US" w:eastAsia="zh-CN"/>
        </w:rPr>
        <w:t>顶尖</w:t>
      </w:r>
      <w:r>
        <w:rPr>
          <w:rFonts w:hint="eastAsia"/>
          <w:color w:val="auto"/>
          <w:spacing w:val="-6"/>
          <w:highlight w:val="none"/>
          <w:lang w:val="en-US" w:eastAsia="zh"/>
        </w:rPr>
        <w:t>创新要素</w:t>
      </w:r>
      <w:r>
        <w:rPr>
          <w:rFonts w:hint="eastAsia"/>
          <w:color w:val="auto"/>
          <w:spacing w:val="-6"/>
          <w:highlight w:val="none"/>
          <w:lang w:val="en-US" w:eastAsia="zh-CN"/>
        </w:rPr>
        <w:t>，打造科技创新开放合作先导区</w:t>
      </w:r>
    </w:p>
    <w:p w14:paraId="52997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（一）支持建设国际化高水平科研机构。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支持国际知名高校、顶尖科研机构以及国家级实验室在深圳园区建设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" w:bidi="ar-SA"/>
        </w:rPr>
        <w:t>卓越研究中心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高水平科研机构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。对符合条件的科研机构给予不超过5000万元建设支持；对已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" w:bidi="ar-SA"/>
        </w:rPr>
        <w:t>建成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的机构，经绩效评估，给予每年不超过2000万元运行支持。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对与国家省市各级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政府签署合作协议的重大战略性科研机构，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按上级部门要求给予支持。</w:t>
      </w:r>
    </w:p>
    <w:p w14:paraId="1DB16CC0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（二）支持共建国际协同创新平台。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深圳园区创新主体与国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内外顶尖力量在深圳园区共建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联合实验室、前沿交叉研究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等协同创新平台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支持全国重点实验室设立河套研究平台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对符合条件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的平台给予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不超过10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建设支持；对已建成的平台，经绩效评估，给予每年不超过300万元运行支持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BCD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（三）支持引进国际顶尖企业研发中心。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支持国际顶尖研发企业、国际创新领军企业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在深圳园区设立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研发中心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对符合条件的企业研发中心，给予不超过1000万元建设支持。</w:t>
      </w:r>
    </w:p>
    <w:p w14:paraId="205D5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default"/>
          <w:color w:val="auto"/>
          <w:spacing w:val="-6"/>
          <w:highlight w:val="none"/>
          <w:rtl w:val="0"/>
          <w:lang w:val="en-US" w:eastAsia="zh-CN"/>
        </w:rPr>
      </w:pPr>
      <w:r>
        <w:rPr>
          <w:rFonts w:hint="eastAsia"/>
          <w:color w:val="auto"/>
          <w:spacing w:val="-6"/>
          <w:highlight w:val="none"/>
          <w:rtl w:val="0"/>
          <w:lang w:val="en-US" w:eastAsia="zh-CN"/>
        </w:rPr>
        <w:t>二</w:t>
      </w:r>
      <w:r>
        <w:rPr>
          <w:rFonts w:hint="eastAsia"/>
          <w:color w:val="auto"/>
          <w:spacing w:val="-6"/>
          <w:highlight w:val="none"/>
          <w:rtl w:val="0"/>
        </w:rPr>
        <w:t>、融通</w:t>
      </w:r>
      <w:r>
        <w:rPr>
          <w:rFonts w:hint="eastAsia"/>
          <w:color w:val="auto"/>
          <w:spacing w:val="-6"/>
          <w:highlight w:val="none"/>
          <w:rtl w:val="0"/>
          <w:lang w:eastAsia="zh"/>
        </w:rPr>
        <w:t>国际先进规则</w:t>
      </w:r>
      <w:r>
        <w:rPr>
          <w:rFonts w:hint="eastAsia"/>
          <w:color w:val="auto"/>
          <w:spacing w:val="-6"/>
          <w:highlight w:val="none"/>
          <w:rtl w:val="0"/>
          <w:lang w:eastAsia="zh-CN"/>
        </w:rPr>
        <w:t>，</w:t>
      </w:r>
      <w:r>
        <w:rPr>
          <w:rFonts w:hint="eastAsia"/>
          <w:color w:val="auto"/>
          <w:spacing w:val="-6"/>
          <w:highlight w:val="none"/>
          <w:rtl w:val="0"/>
          <w:lang w:val="en-US" w:eastAsia="zh-CN"/>
        </w:rPr>
        <w:t>建设一流创新规则试验区</w:t>
      </w:r>
    </w:p>
    <w:p w14:paraId="53291D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（四）支持承接国际科技合作项目。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鼓励深圳园区创新主体深度融入全球创新网络。对牵头或参与大科学计划、大科学工程的，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给予不超过2000万元支持。对承担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国际科技合作项目的，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给予不超过200万元支持。</w:t>
      </w:r>
    </w:p>
    <w:p w14:paraId="243DE0B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（五）支持对接国际规则开展探索研究。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支持面向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 w:bidi="ar-SA"/>
        </w:rPr>
        <w:t>重点发展领域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开展前沿性颠覆性源头创新，实施项目经理人制等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先进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科研项目管理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规则，建立科研容错与尽职免责机制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。对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颠覆性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技术探索项目与前沿交叉研究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项目，给予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不超过</w:t>
      </w:r>
      <w:r>
        <w:rPr>
          <w:rFonts w:hint="default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000万元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 w:bidi="ar-SA"/>
        </w:rPr>
        <w:t>支持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。</w:t>
      </w:r>
    </w:p>
    <w:p w14:paraId="15A5BCA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spacing w:val="-6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（六）支持国际科技功能型机构集聚发展。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支持国际科技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与产业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组织、标准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编制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与认证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组织及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依托平台、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学术出版集团、专业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科技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数据库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 w:bidi="ar-SA"/>
        </w:rPr>
        <w:t>、开源技术社区、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国际科技期刊运营主体、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专业服务机构等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功能型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机构入驻，给予不超过300万元建设支持；建成运营后，经绩效评估给予每年不超过200万元运行支持。</w:t>
      </w:r>
    </w:p>
    <w:p w14:paraId="252EB4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eastAsia"/>
          <w:color w:val="auto"/>
          <w:spacing w:val="-6"/>
          <w:highlight w:val="none"/>
          <w:lang w:val="en-US" w:eastAsia="zh-CN"/>
        </w:rPr>
      </w:pPr>
      <w:r>
        <w:rPr>
          <w:rFonts w:hint="eastAsia"/>
          <w:color w:val="auto"/>
          <w:spacing w:val="-6"/>
          <w:highlight w:val="none"/>
          <w:lang w:val="en-US" w:eastAsia="zh-CN"/>
        </w:rPr>
        <w:t>三、加速科技成果转化，构筑国际中试转化集聚区</w:t>
      </w:r>
    </w:p>
    <w:p w14:paraId="7138CF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）支持引进高水平产业孵化载体。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支持知名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品牌孵化器、加速器、风投机构、技术转移中心等科创服务主体，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在深圳园区设立和运营跨境双向孵化平台。对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符合条件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孵化载体给予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不超过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1000万元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建设支持；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对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已建成的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孵化载体，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经绩效评估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给予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每年不超过200万元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运行支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en-US"/>
        </w:rPr>
        <w:t>持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en-US"/>
        </w:rPr>
        <w:t>支持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国内外优秀青年团队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en-US"/>
        </w:rPr>
        <w:t>在重点产业领域开展创新创业活动，择优给予不超过30万元启动支持。</w:t>
      </w:r>
    </w:p>
    <w:p w14:paraId="2AEF75C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八）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  <w:lang w:val="en-US" w:eastAsia="zh-CN"/>
        </w:rPr>
        <w:t>支持建设专业中试转化平台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支持国内外顶尖高校、科研院所、行业领军企业及新型研发机构在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" w:bidi="ar-SA"/>
        </w:rPr>
        <w:t>深圳园区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建设面向产业需求的开放式、专业化中试平台</w:t>
      </w:r>
      <w:r>
        <w:rPr>
          <w:rFonts w:hint="eastAsia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" w:bidi="ar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对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新建设的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中试平台，给予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不超过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000万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元建设支持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" w:bidi="ar-SA"/>
        </w:rPr>
        <w:t>对建成并投入</w:t>
      </w:r>
      <w:r>
        <w:rPr>
          <w:rFonts w:hint="default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运营</w:t>
      </w:r>
      <w:r>
        <w:rPr>
          <w:rFonts w:hint="eastAsia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" w:bidi="ar"/>
        </w:rPr>
        <w:t>的中试平台</w:t>
      </w:r>
      <w:r>
        <w:rPr>
          <w:rFonts w:hint="default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经绩效评估，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给予每年不超过500万元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运行支持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4B20B8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（九）支持</w:t>
      </w:r>
      <w:r>
        <w:rPr>
          <w:rFonts w:hint="eastAsia" w:ascii="楷体_GB2312" w:hAnsi="楷体_GB2312" w:eastAsia="楷体_GB2312" w:cs="楷体_GB2312"/>
          <w:i w:val="0"/>
          <w:color w:val="auto"/>
          <w:spacing w:val="-6"/>
          <w:sz w:val="32"/>
          <w:szCs w:val="32"/>
          <w:highlight w:val="none"/>
          <w:rtl w:val="0"/>
          <w:lang w:val="en-US" w:eastAsia="zh-CN"/>
        </w:rPr>
        <w:t>海内外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技术成果落地转化</w:t>
      </w:r>
      <w:r>
        <w:rPr>
          <w:rFonts w:hint="eastAsia" w:ascii="楷体_GB2312" w:hAnsi="楷体_GB2312" w:eastAsia="楷体_GB2312" w:cs="楷体_GB2312"/>
          <w:i w:val="0"/>
          <w:color w:val="auto"/>
          <w:spacing w:val="-6"/>
          <w:sz w:val="32"/>
          <w:szCs w:val="32"/>
          <w:highlight w:val="none"/>
          <w:rtl w:val="0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对已获国家和省市级科技计划、港澳特区政府资助的项目予以简化评审，给予不超过1000万元中试项目建设支持。对在深圳园区完成中试并计划在市内进行产业化生产的项目，给予不超过200万元启动支持。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建立“拨投联动</w:t>
      </w:r>
      <w:r>
        <w:rPr>
          <w:rStyle w:val="11"/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footnoteReference w:id="0"/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”机制，并对成功转化的被投项目探索实施政府基金“投后让利</w:t>
      </w:r>
      <w:r>
        <w:rPr>
          <w:rStyle w:val="11"/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footnoteReference w:id="1"/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”。</w:t>
      </w:r>
    </w:p>
    <w:p w14:paraId="6951953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支持降低科技服务与成果转化成本</w:t>
      </w: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设立推广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河套创新券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”。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创新券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可用于购买经认定的深港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服务机构提供的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检测服务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、信息服务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、技术开发服务、知识产权服务、标准咨询服务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配套服务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深圳园区内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研发办公空间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使用共享研发设备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支持举办国际学术交流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活动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。对符合条件的深圳园区创新主体，按其上一年度实际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发生并经核定的相关服务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合同金额的一定比例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创新券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兑现补助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，每年累计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兑现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不超过500万元。</w:t>
      </w:r>
    </w:p>
    <w:p w14:paraId="7BD7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en-US" w:bidi="ar-SA"/>
        </w:rPr>
        <w:t>附则</w:t>
      </w:r>
    </w:p>
    <w:p w14:paraId="0879360E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本措施执行期间如遇国家、省、市有关政策及规定调整的，从其规定。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本措施与本市其他同类优惠措施，按照就高不就低的原则申报，不重复资助，相关资助额度受年度总额控制。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本措施由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河套深港科技创新合作区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深圳园区发展署负责解释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并会同市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相关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职能部门制定和发布各项支持条款的具体实施细则或操作规程，包括但不限于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申报条件、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评审标准、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审核程序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、资金拨付、绩效评估、监督管理等内容。</w:t>
      </w:r>
    </w:p>
    <w:p w14:paraId="03332675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yellow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本措施的支持政策，在同一年度内，同一家科研机构可获得最高5000万元支持，同一家科技企业可获得最高2000万元支持。申请主体须对申报材料的真实性、合法性负责，并签署诚信承诺书。对存在弄虚作假、恶意骗补等行为的主体，将取消其享受本措施支持的资格，并依法依规追回已拨付资金及追究相应责任。</w:t>
      </w:r>
    </w:p>
    <w:p w14:paraId="712A72D6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topLinePunct w:val="0"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本措施自202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年X月X日起实施，有效期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年。</w:t>
      </w:r>
    </w:p>
    <w:p w14:paraId="021B6832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CDAC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4926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4926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2535887">
      <w:pPr>
        <w:pStyle w:val="8"/>
        <w:snapToGrid w:val="0"/>
      </w:pPr>
      <w:r>
        <w:rPr>
          <w:rStyle w:val="11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sz w:val="21"/>
          <w:szCs w:val="32"/>
        </w:rPr>
        <w:t>“拨投联动”是一种财政资金与股权投资联动的创新支持机制，通过“先拨款、后转股”的方式推动科技创新。政府前期以财政补助形式为项目提供资金支持，并在项目中期验收达标或满足约定条件后，将财政资金转化为股权，由特定机构代持。待项目进入成熟阶段，政府股权将遵循“适当收益”原则逐步退出，回收资金继续用于支持其他科创项目，形成财政资金循环利用的长效机制。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具体转股机制将在后续申报指南中进行明确。</w:t>
      </w:r>
    </w:p>
  </w:footnote>
  <w:footnote w:id="1">
    <w:p w14:paraId="026742C7">
      <w:pPr>
        <w:pStyle w:val="8"/>
        <w:snapToGrid w:val="0"/>
        <w:rPr>
          <w:rFonts w:hint="eastAsia" w:ascii="仿宋_GB2312" w:hAnsi="仿宋_GB2312" w:eastAsia="仿宋_GB2312" w:cs="仿宋_GB2312"/>
          <w:sz w:val="21"/>
          <w:szCs w:val="32"/>
        </w:rPr>
      </w:pPr>
      <w:r>
        <w:rPr>
          <w:rStyle w:val="11"/>
          <w:rFonts w:hint="eastAsia" w:ascii="仿宋_GB2312" w:hAnsi="仿宋_GB2312" w:eastAsia="仿宋_GB2312" w:cs="仿宋_GB2312"/>
          <w:sz w:val="21"/>
          <w:szCs w:val="32"/>
        </w:rPr>
        <w:footnoteRef/>
      </w:r>
      <w:r>
        <w:rPr>
          <w:rFonts w:hint="eastAsia" w:ascii="仿宋_GB2312" w:hAnsi="仿宋_GB2312" w:eastAsia="仿宋_GB2312" w:cs="仿宋_GB2312"/>
          <w:sz w:val="21"/>
          <w:szCs w:val="32"/>
        </w:rPr>
        <w:t xml:space="preserve"> “投后让利”指政府引导类投资基金在收回本金或达到基本收益后，将超额收益的部分或全部，以现金奖励、费用减免、股权让利等方式</w:t>
      </w:r>
      <w:r>
        <w:rPr>
          <w:rFonts w:hint="eastAsia" w:ascii="仿宋_GB2312" w:hAnsi="仿宋_GB2312" w:eastAsia="仿宋_GB2312" w:cs="仿宋_GB2312"/>
          <w:sz w:val="21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32"/>
        </w:rPr>
        <w:t>有条件地让渡给在本地实现既定产业化目标的被投企业</w:t>
      </w:r>
      <w:r>
        <w:rPr>
          <w:rFonts w:hint="eastAsia" w:ascii="仿宋_GB2312" w:hAnsi="仿宋_GB2312" w:eastAsia="仿宋_GB2312" w:cs="仿宋_GB2312"/>
          <w:sz w:val="21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32"/>
        </w:rPr>
        <w:t>让利的具体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21"/>
          <w:szCs w:val="32"/>
        </w:rPr>
        <w:t>和条件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1"/>
          <w:szCs w:val="32"/>
        </w:rPr>
        <w:t>在协议中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21"/>
          <w:szCs w:val="32"/>
        </w:rPr>
        <w:t>约定。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12"/>
    <w:rsid w:val="00221512"/>
    <w:rsid w:val="01284104"/>
    <w:rsid w:val="06CC4C5D"/>
    <w:rsid w:val="2715112B"/>
    <w:rsid w:val="296454F8"/>
    <w:rsid w:val="5D8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 w:val="0"/>
      <w:keepLine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560" w:lineRule="exact"/>
      <w:outlineLvl w:val="0"/>
    </w:pPr>
    <w:rPr>
      <w:rFonts w:ascii="黑体" w:hAnsi="黑体" w:eastAsia="黑体" w:cs="黑体"/>
      <w:bCs/>
      <w:color w:val="1B1C1D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before="180" w:after="180"/>
    </w:p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customStyle="1" w:styleId="12">
    <w:name w:val="First Paragraph"/>
    <w:basedOn w:val="5"/>
    <w:next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2026-03-04T02:35:00Z</dcterms:created>
  <dc:creator>ywbzb</dc:creator>
  <cp:lastModifiedBy>ywbzb</cp:lastModifiedBy>
  <dcterms:modified xsi:type="dcterms:W3CDTF">2026-03-04T02:35:27Z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D8C8EA4BF8174E7B8658EB31B34217B0_11</vt:lpwstr>
  </property>
  <property fmtid="{D5CDD505-2E9C-101B-9397-08002B2CF9AE}" pid="4" name="KSOTemplateDocerSaveRecord">
    <vt:lpwstr>eyJoZGlkIjoiYWMxNTY3NmRiNWZkYzVmNWVhZjc0MDJjMzAxZjU1YjUiLCJ1c2VySWQiOiI5MTM4OTQ2NDAifQ==</vt:lpwstr>
  </property>
</Properties>
</file>