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79" w:lineRule="exact"/>
        <w:rPr>
          <w:color w:val="auto"/>
          <w:highlight w:val="none"/>
        </w:rPr>
      </w:pPr>
    </w:p>
    <w:p>
      <w:pPr>
        <w:spacing w:line="579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河套合作区规划建设成果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设计制作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项目</w:t>
      </w:r>
    </w:p>
    <w:p>
      <w:pPr>
        <w:spacing w:line="579" w:lineRule="exact"/>
        <w:jc w:val="center"/>
        <w:outlineLvl w:val="0"/>
        <w:rPr>
          <w:rFonts w:hint="eastAsia" w:ascii="FZXiaoBiaoSong-B05S" w:hAnsi="FZXiaoBiaoSong-B05S" w:eastAsia="FZXiaoBiaoSong-B05S" w:cs="FZXiaoBiaoSong-B05S"/>
          <w:color w:val="auto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color w:val="auto"/>
          <w:sz w:val="44"/>
          <w:szCs w:val="44"/>
          <w:highlight w:val="none"/>
          <w:lang w:eastAsia="zh-CN"/>
        </w:rPr>
        <w:t>项目任务书</w:t>
      </w:r>
    </w:p>
    <w:p>
      <w:pPr>
        <w:spacing w:line="579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ascii="FangSong" w:hAnsi="FangSong" w:eastAsia="FangSong" w:cs="Times New Roman"/>
          <w:color w:val="auto"/>
          <w:sz w:val="32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第十届深港城市建筑双城双年展定于2025年底在河套科创中心举行，主题聚焦以科技创新为依托的城市转型与可持续更新发展。与此同时，深圳成为继上海、北京之后中国第三个承办APEC会议的城市。为抓住此次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特殊机遇，河套发展署拟开展河套合作区规划建设成果设计制作服务项目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采购</w:t>
      </w:r>
      <w:r>
        <w:rPr>
          <w:rFonts w:ascii="FangSong" w:hAnsi="FangSong" w:eastAsia="FangSong" w:cs="Times New Roman"/>
          <w:color w:val="auto"/>
          <w:sz w:val="32"/>
          <w:szCs w:val="22"/>
          <w:highlight w:val="none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一是对外充分展示河套合作区在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规划建设、科技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创新、深港合作的发展成果，提升国际知名度；二是借此机会系统梳理总结河套发展的阶段性经验，为“十五五”期间更好地发挥科技创新平台效应，全面落实河套合作区发展规划引领方向</w:t>
      </w:r>
      <w:r>
        <w:rPr>
          <w:rFonts w:ascii="FangSong" w:hAnsi="FangSong" w:eastAsia="FangSong" w:cs="Times New Roman"/>
          <w:color w:val="auto"/>
          <w:sz w:val="32"/>
          <w:szCs w:val="2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本项目需由专业机构承担主题策划、空间设计、内容制作、实施管理等成体系的工作，以保证成果质量、国际化表达效果及现场组织的规范性。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二、场地情况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相关成果内容拟在河套科创中心（深圳福田区红花路1号）A栋一楼大堂约450㎡空间进行布置（详见附件</w:t>
      </w:r>
      <w:bookmarkStart w:id="0" w:name="_GoBack"/>
      <w:bookmarkEnd w:id="0"/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），需结合现有建筑和场地条件开展：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成果展示空间布置；临时设施搭建及现场动线优化；供应商需依据场地现状开展测绘、布置分析及可实施设计。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三、服务内容（技术标的核心工作范围）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（一）成果主题及内容策划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明确主题、目标、定位及整体叙事框架；梳理河套园区在规划建设、科技创新、深港合作等方面的阶段性成果及展示逻辑；形成展示体系结构、主视觉建议及双语表达方案；制定宣传沟通大纲及传播素材框架；输出策划方案（含文本、图示、展示目录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（二）场地空间组织与设计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根据约450㎡场地条件提供完整空间组织方案；展陈区域、交流区域、导视系统等功能排布；成果内容载体设计（结构、材质、灯光、图文展示方式等）；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提供可实施的场地布置图、施工图、效果展示；对接并指导场地方完成现场布置落地。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（三）内容制作与视觉呈现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成果内容的图文视觉优化制作；双语内容（中/英）制作、校对与排版；展示装置、道具、版面、展板等制作与安装。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（四）统筹与组织管理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建立项目管理机制，制定完整执行计划（含进度、资源、节点）；现场布置期间进行驻场监督、质量管理及效果确认；</w:t>
      </w:r>
      <w:r>
        <w:rPr>
          <w:rFonts w:ascii="FangSong" w:hAnsi="FangSong" w:eastAsia="FangSong" w:cs="Times New Roman"/>
          <w:color w:val="auto"/>
          <w:sz w:val="32"/>
          <w:szCs w:val="22"/>
          <w:highlight w:val="none"/>
        </w:rPr>
        <w:t>提供</w:t>
      </w:r>
      <w:r>
        <w:rPr>
          <w:rFonts w:hint="eastAsia" w:ascii="FangSong" w:hAnsi="FangSong" w:eastAsia="FangSong" w:cs="Times New Roman"/>
          <w:color w:val="auto"/>
          <w:sz w:val="32"/>
          <w:szCs w:val="22"/>
          <w:highlight w:val="none"/>
          <w:lang w:eastAsia="zh-CN"/>
        </w:rPr>
        <w:t>相关成果的管理维护服务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；全过程协调及风险预案执行。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四、技术标要求（与评分项对应）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投标供应商需在技术标中按以下要求提交内容：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（一）技术方案（评分60%）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内容策划思路（对应评分30分）；主题、目标、定位、总体策划结构；深港协同与科研枢纽建设成果的表达方式；传播策略及国际化呈现方式；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空间组织思路（对应评分20分）：场地分析、空间布局、动线组织；展示载体形式、灯光/材质表达方式；落地可行性分析；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统筹保障计划（对应评分10分）：项目管理机制与人员配置；进度安排、风险控制；现场组织及媒体沟通方案。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（二）团队配置（评分10%）：提供人员结构、分工及专业能力说明；需附学历、职称、社保证明等评分要求对应材料；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0" w:firstLineChars="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项目负责人需能满足“学术项目策展方案获选”等加分项要求。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（三）项目经验（评分15%）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提供2021年以来的重大活动策划或展陈设计业绩；须附合同或有效证明材料。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（四）报价（评分10%）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不得超过预算84.8万元；符合固定总价包干制要求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（五）诚信记录（评分5%）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提供信用中国、政府采购网等记录材料（由采购方复核）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五、项目最终成果要求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项目完成后，供应商需提交以下成果：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（一）文本成果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总体策划方案（中英双语）；展示内容与信息架构总表；场地空间组织方案及全套布置图纸；执行统筹计划（含进度、人员、流程）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（二）设计与视觉成果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展示效果图、主视觉及版式系统；展板、模型、装置等设计文件；双语视觉呈现文件（用于制作）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（三）制作与实施成果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展示区、交流区等全部现场搭建成果；展示内容制作与安装完成情况；现场导视系统与环境布置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（四）管理执行成果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搭建实施管理记录；成果内容管养记录；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（五）归档材料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按照政府采购档案要求提交完整资料，包括但不限于：文本方案（可编辑版+PDF）；图纸与设计文件；施工资料；双语内容文件；材料清单、制作清单；实体成果和实施过程影像、照片、视频；其他需要归档的资料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成果须确保内容真实、数据准确、表达符合外宣规范；双语内容需专业准确，国际表达须达到对外沟通标准；所有知识产权归甲方所有；不得转包，需保证团队稳定性；严格遵守保密要求和项目工作纪律。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附件：1.场地照片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1600" w:firstLineChars="5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2.场地图纸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EB Garamond Initial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Calade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adea">
    <w:panose1 w:val="02040503050406030204"/>
    <w:charset w:val="00"/>
    <w:family w:val="auto"/>
    <w:pitch w:val="default"/>
    <w:sig w:usb0="00000007" w:usb1="00000000" w:usb2="00000000" w:usb3="00000000" w:csb0="20000093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ZXiaoBiaoSong-B05S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方正仿宋_GBK"/>
    <w:panose1 w:val="00000000000000000000"/>
    <w:charset w:val="86"/>
    <w:family w:val="modern"/>
    <w:pitch w:val="default"/>
    <w:sig w:usb0="00000000" w:usb1="00000000" w:usb2="00000000" w:usb3="00000000" w:csb0="2000019F" w:csb1="4F01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F8E3B"/>
    <w:rsid w:val="6FAF3360"/>
    <w:rsid w:val="767D692C"/>
    <w:rsid w:val="7CCF8E3B"/>
    <w:rsid w:val="9FFE0CBE"/>
    <w:rsid w:val="B6AE43B9"/>
    <w:rsid w:val="B85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4"/>
    <w:qFormat/>
    <w:uiPriority w:val="0"/>
    <w:pPr>
      <w:adjustRightInd w:val="0"/>
      <w:spacing w:line="240" w:lineRule="auto"/>
      <w:jc w:val="center"/>
      <w:textAlignment w:val="baseline"/>
      <w:outlineLvl w:val="1"/>
    </w:pPr>
    <w:rPr>
      <w:rFonts w:ascii="宋体" w:hAnsi="宋体" w:eastAsia="宋体" w:cs="Times New Roman"/>
      <w:kern w:val="0"/>
      <w:sz w:val="24"/>
      <w:szCs w:val="20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lock Text"/>
    <w:qFormat/>
    <w:uiPriority w:val="0"/>
    <w:pPr>
      <w:widowControl w:val="0"/>
      <w:spacing w:after="120"/>
      <w:ind w:left="1440" w:leftChars="700" w:right="1440" w:rightChars="7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2025-12-03T20:28:00Z</dcterms:created>
  <dc:creator>sws</dc:creator>
  <cp:lastModifiedBy>sws</cp:lastModifiedBy>
  <dcterms:modified xsi:type="dcterms:W3CDTF">2025-12-11T13:21:35Z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295523FFCAB6931618543A696DA1FCDF</vt:lpwstr>
  </property>
</Properties>
</file>