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sz w:val="24"/>
        </w:rPr>
      </w:pPr>
    </w:p>
    <w:p>
      <w:pPr>
        <w:ind w:firstLine="361" w:firstLineChars="100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河套深圳园区202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年度网站及新媒体平台宣传服务采购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评分表</w:t>
      </w:r>
    </w:p>
    <w:tbl>
      <w:tblPr>
        <w:tblStyle w:val="4"/>
        <w:tblW w:w="12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55"/>
        <w:gridCol w:w="894"/>
        <w:gridCol w:w="771"/>
        <w:gridCol w:w="2905"/>
        <w:gridCol w:w="1964"/>
        <w:gridCol w:w="1784"/>
        <w:gridCol w:w="159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评分项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367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分数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深圳市新域文化传媒有限公司 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深圳市凤家文化传媒有限公司</w:t>
            </w:r>
          </w:p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深圳日报融合传媒有限公司</w:t>
            </w:r>
          </w:p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自然火（深圳）科技文化有限公司</w:t>
            </w:r>
          </w:p>
          <w:p>
            <w:pPr>
              <w:widowControl/>
              <w:wordWrap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一、价格部分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二、综合实力部分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25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/>
                <w:b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评分因素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分数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同类项目业绩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2905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bCs/>
                <w:szCs w:val="21"/>
              </w:rPr>
              <w:t>有市级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Cs w:val="21"/>
              </w:rPr>
              <w:t>政府机关事业单位、机构或官方媒体关于公众号、官方网站等代运营项目有效业绩，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</w:t>
            </w:r>
            <w:r>
              <w:rPr>
                <w:rFonts w:hint="eastAsia" w:ascii="宋体" w:hAnsi="宋体"/>
                <w:bCs/>
                <w:szCs w:val="21"/>
                <w:highlight w:val="yellow"/>
              </w:rPr>
              <w:t>得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Cs w:val="21"/>
                <w:highlight w:val="yellow"/>
              </w:rPr>
              <w:t>分。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90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投标人具有新闻类或视频类或设计类地级市党政部门颁发的奖项，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得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分。</w:t>
            </w:r>
          </w:p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ind w:firstLine="105" w:firstLineChars="50"/>
              <w:jc w:val="left"/>
              <w:rPr>
                <w:rFonts w:hint="eastAsia" w:hAnsi="宋体" w:cs="宋体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ind w:firstLine="105" w:firstLineChars="50"/>
              <w:jc w:val="left"/>
              <w:rPr>
                <w:rFonts w:hint="eastAsia" w:hAnsi="宋体" w:cs="宋体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jc w:val="left"/>
              <w:rPr>
                <w:rFonts w:hint="eastAsia" w:hAnsi="宋体" w:cs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ind w:firstLine="105" w:firstLineChars="50"/>
              <w:jc w:val="left"/>
              <w:rPr>
                <w:rFonts w:hint="eastAsia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3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技术力量</w:t>
            </w:r>
          </w:p>
          <w:p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905" w:type="dxa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政府网站需增加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</w:rPr>
              <w:t>人工智能检索、导航等明确的技术要求，实现政策精准推送、大数据辅助决策、智能化应用等功能，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 xml:space="preserve">得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eastAsia="zh-CN"/>
              </w:rPr>
              <w:t>。</w:t>
            </w:r>
          </w:p>
        </w:tc>
        <w:tc>
          <w:tcPr>
            <w:tcW w:w="1964" w:type="dxa"/>
          </w:tcPr>
          <w:p>
            <w:pPr>
              <w:adjustRightInd w:val="0"/>
              <w:snapToGrid w:val="0"/>
              <w:spacing w:after="160"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</w:tcPr>
          <w:p>
            <w:pPr>
              <w:adjustRightInd w:val="0"/>
              <w:snapToGrid w:val="0"/>
              <w:spacing w:after="160"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</w:tcPr>
          <w:p>
            <w:pPr>
              <w:adjustRightInd w:val="0"/>
              <w:snapToGrid w:val="0"/>
              <w:spacing w:after="160"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</w:tcPr>
          <w:p>
            <w:pPr>
              <w:adjustRightInd w:val="0"/>
              <w:snapToGrid w:val="0"/>
              <w:spacing w:after="160"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三、服务部分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评分因素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得分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服务方案</w:t>
            </w:r>
          </w:p>
        </w:tc>
        <w:tc>
          <w:tcPr>
            <w:tcW w:w="89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项目服务方案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905" w:type="dxa"/>
          </w:tcPr>
          <w:p>
            <w:pPr>
              <w:jc w:val="lef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提供项目服务方案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项目实施理念及目标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项目的实施流程及方法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发展现状及趋势分析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亮点策划方案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视方案内容打分，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</w:t>
            </w:r>
            <w:r>
              <w:rPr>
                <w:rFonts w:hint="eastAsia" w:ascii="宋体" w:hAnsi="宋体"/>
                <w:bCs/>
                <w:szCs w:val="21"/>
                <w:highlight w:val="yellow"/>
              </w:rPr>
              <w:t>得20分</w:t>
            </w:r>
          </w:p>
        </w:tc>
        <w:tc>
          <w:tcPr>
            <w:tcW w:w="1964" w:type="dxa"/>
          </w:tcPr>
          <w:p>
            <w:pPr>
              <w:wordWrap w:val="0"/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4" w:type="dxa"/>
          </w:tcPr>
          <w:p>
            <w:pPr>
              <w:wordWrap w:val="0"/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0" w:type="dxa"/>
          </w:tcPr>
          <w:p>
            <w:pPr>
              <w:wordWrap w:val="0"/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7" w:type="dxa"/>
          </w:tcPr>
          <w:p>
            <w:pPr>
              <w:wordWrap w:val="0"/>
              <w:adjustRightInd w:val="0"/>
              <w:snapToGrid w:val="0"/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质量保障措施</w:t>
            </w:r>
          </w:p>
        </w:tc>
        <w:tc>
          <w:tcPr>
            <w:tcW w:w="77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905" w:type="dxa"/>
            <w:vAlign w:val="center"/>
          </w:tcPr>
          <w:p>
            <w:pPr>
              <w:wordWrap w:val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质量保障措施</w:t>
            </w:r>
          </w:p>
          <w:p>
            <w:pPr>
              <w:wordWrap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根据投标人项目质量保障措施及方案内容、运作流程、网络安全及技术保障内容、人员的管理及支持综合评审，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最高得5分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。</w:t>
            </w:r>
          </w:p>
        </w:tc>
        <w:tc>
          <w:tcPr>
            <w:tcW w:w="1964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项目重点难点分析、应对措施及相关的合理化建议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9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项目重点难点分析或应对措施或相关的合理化建议：</w:t>
            </w:r>
          </w:p>
          <w:p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项目重难点分析；</w:t>
            </w:r>
          </w:p>
          <w:p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项目可能应对的风险及突发状况；</w:t>
            </w:r>
          </w:p>
          <w:p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应对措施及相关的合理化建议。</w:t>
            </w:r>
          </w:p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最高得5分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。</w:t>
            </w:r>
          </w:p>
        </w:tc>
        <w:tc>
          <w:tcPr>
            <w:tcW w:w="1964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拟安排的项目负责人情况（仅限一人）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905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按招标文件要求提供人员配备承诺（格式见招标文件第四章-投标文件附件-人员配备承诺），且拟安排项目负责人为投标单位员工（以社保为准），否则本项不得分。在此基础上：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拟投入项目负责人情况：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1.5年或以上媒体运营工作经验得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具有中级（及以上）编辑职称的，得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最高得10分。</w:t>
            </w:r>
          </w:p>
        </w:tc>
        <w:tc>
          <w:tcPr>
            <w:tcW w:w="1964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1" w:hRule="atLeast"/>
          <w:jc w:val="center"/>
        </w:trPr>
        <w:tc>
          <w:tcPr>
            <w:tcW w:w="727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拟安排的项目主要团队成员（主要技术人员）情况（项目负责人除外）</w:t>
            </w:r>
          </w:p>
        </w:tc>
        <w:tc>
          <w:tcPr>
            <w:tcW w:w="77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2905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拟安排项目团队成员为投标单位员工（以社保为准），否则该人员本项不得分。在此基础上：</w:t>
            </w:r>
          </w:p>
          <w:p>
            <w:pPr>
              <w:jc w:val="left"/>
            </w:pPr>
            <w:r>
              <w:rPr>
                <w:rFonts w:hint="eastAsia"/>
              </w:rPr>
              <w:t>一、拟派驻人员</w:t>
            </w:r>
            <w:r>
              <w:rPr>
                <w:rFonts w:hint="eastAsia"/>
                <w:lang w:val="en-US" w:eastAsia="zh-CN"/>
              </w:rPr>
              <w:t>评分标准可参考以下</w:t>
            </w:r>
            <w:r>
              <w:rPr>
                <w:rFonts w:hint="eastAsia"/>
              </w:rPr>
              <w:t xml:space="preserve">： 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（1）拟派驻人员具备本科（及以上）学历，新闻、中文、广告学专业，工作经验3年以上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（2）拟派驻人员为港澳人士或具有港澳地区或海外留学经历或英语六级（含）以上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摄影及图像处理，工作经验3年以上，有独立完成活动拍摄、视频制作经验，点击量超1万以上，精通图片、影像处理软件（Photoshop、After Effects、Premiere），提供推文整理编辑截图或作品集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</w:rPr>
              <w:t>（4）相关作品在新媒体平台观看量超过1万及以上的截图证明。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视情况打分，</w:t>
            </w:r>
            <w:r>
              <w:rPr>
                <w:rFonts w:hint="eastAsia" w:ascii="宋体" w:hAnsi="宋体"/>
                <w:bCs/>
                <w:szCs w:val="21"/>
                <w:highlight w:val="yellow"/>
                <w:lang w:val="en-US" w:eastAsia="zh-CN"/>
              </w:rPr>
              <w:t>最高可得2</w:t>
            </w:r>
            <w:r>
              <w:rPr>
                <w:rFonts w:hint="eastAsia"/>
                <w:highlight w:val="yellow"/>
              </w:rPr>
              <w:t>0分。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ind w:lef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bottom w:val="single" w:color="auto" w:sz="4" w:space="0"/>
            </w:tcBorders>
          </w:tcPr>
          <w:p>
            <w:pPr>
              <w:pStyle w:val="2"/>
              <w:ind w:lef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tcBorders>
              <w:bottom w:val="single" w:color="auto" w:sz="4" w:space="0"/>
            </w:tcBorders>
          </w:tcPr>
          <w:p>
            <w:pPr>
              <w:pStyle w:val="2"/>
              <w:ind w:lef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pStyle w:val="2"/>
              <w:ind w:lef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</w:tcPr>
          <w:p>
            <w:pPr>
              <w:pStyle w:val="2"/>
              <w:ind w:lef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四、诚信情况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lang w:bidi="ar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诚信评审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9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投标人存在《深圳市财政局政府采购供应商信用信息管理办法》（深财规〔2023〕3 号）列明的一般行政处罚信息、一般违法失信记录信息的，本项不得分，不存在上述情形的本项得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分。投标人无需提供任何证明材料，评标过程中由工作人员向评审委员会提供供应商诚信查询结果。查询渠道具体包括“信用中国”（www.creditchina.gov.cn）、“中国政府采购网”（www.ccgp.gov.cn）”以及“深圳市政府采购监管网”（http://zfcg.sz.gov.cn）为供应商信用信息的查询渠道，相关信息以开标当日的查询结果为准</w:t>
            </w:r>
          </w:p>
        </w:tc>
        <w:tc>
          <w:tcPr>
            <w:tcW w:w="196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85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96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65F84"/>
    <w:multiLevelType w:val="singleLevel"/>
    <w:tmpl w:val="91465F8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5CF0F54"/>
    <w:multiLevelType w:val="singleLevel"/>
    <w:tmpl w:val="D5CF0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10D0F"/>
    <w:rsid w:val="02271935"/>
    <w:rsid w:val="03F24E1D"/>
    <w:rsid w:val="042A0DEB"/>
    <w:rsid w:val="0E3A1EE7"/>
    <w:rsid w:val="103551A4"/>
    <w:rsid w:val="13F75BCF"/>
    <w:rsid w:val="18DD095C"/>
    <w:rsid w:val="1BBE5191"/>
    <w:rsid w:val="1F597EFB"/>
    <w:rsid w:val="21C53424"/>
    <w:rsid w:val="26EA363F"/>
    <w:rsid w:val="2B355773"/>
    <w:rsid w:val="2FB77156"/>
    <w:rsid w:val="3CEE3985"/>
    <w:rsid w:val="402813D3"/>
    <w:rsid w:val="454703B2"/>
    <w:rsid w:val="48CC307C"/>
    <w:rsid w:val="57965BE1"/>
    <w:rsid w:val="5BFC0507"/>
    <w:rsid w:val="5C052381"/>
    <w:rsid w:val="5C90197E"/>
    <w:rsid w:val="6061748D"/>
    <w:rsid w:val="60A00B94"/>
    <w:rsid w:val="65152942"/>
    <w:rsid w:val="68110D0F"/>
    <w:rsid w:val="69D30367"/>
    <w:rsid w:val="72DB4E95"/>
    <w:rsid w:val="774175B4"/>
    <w:rsid w:val="7EA2394E"/>
    <w:rsid w:val="7EA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annotation text"/>
    <w:basedOn w:val="1"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2024-11-13T07:34:00Z</dcterms:created>
  <dc:creator>刘蓓</dc:creator>
  <cp:lastModifiedBy>刘蓓</cp:lastModifiedBy>
  <cp:lastPrinted>2024-11-29T09:55:48Z</cp:lastPrinted>
  <dcterms:modified xsi:type="dcterms:W3CDTF">2024-11-29T10:05:04Z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A1ED3DF9F50D4C33AB790E17D1258618</vt:lpwstr>
  </property>
</Properties>
</file>